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8E49" w14:textId="1D6EE78D" w:rsidR="0004605D" w:rsidRDefault="006D0EEE" w:rsidP="00F64E71">
      <w:pPr>
        <w:jc w:val="center"/>
        <w:rPr>
          <w:b/>
          <w:sz w:val="40"/>
          <w:szCs w:val="40"/>
        </w:rPr>
      </w:pPr>
      <w:r w:rsidRPr="006D0EEE">
        <w:rPr>
          <w:b/>
          <w:sz w:val="40"/>
          <w:szCs w:val="40"/>
          <w:highlight w:val="yellow"/>
        </w:rPr>
        <w:t>NOT FOR DISTRIBUTION! DRAFT ONLY!</w:t>
      </w:r>
    </w:p>
    <w:p w14:paraId="55A50FC2" w14:textId="24E5038E" w:rsidR="00D021E4" w:rsidRDefault="00D021E4" w:rsidP="00F64E71">
      <w:pPr>
        <w:jc w:val="center"/>
        <w:rPr>
          <w:b/>
          <w:sz w:val="40"/>
          <w:szCs w:val="40"/>
        </w:rPr>
      </w:pPr>
      <w:r w:rsidRPr="00D021E4">
        <w:rPr>
          <w:b/>
          <w:sz w:val="40"/>
          <w:szCs w:val="40"/>
          <w:highlight w:val="yellow"/>
        </w:rPr>
        <w:t>Should be sent to physicians and pharmacists</w:t>
      </w:r>
    </w:p>
    <w:p w14:paraId="4727A30C" w14:textId="733A70C4" w:rsidR="00836A07" w:rsidRPr="006D0EEE" w:rsidRDefault="00836A07" w:rsidP="00F64E71">
      <w:pPr>
        <w:jc w:val="center"/>
        <w:rPr>
          <w:b/>
          <w:sz w:val="40"/>
          <w:szCs w:val="40"/>
        </w:rPr>
      </w:pPr>
      <w:r w:rsidRPr="00836A07">
        <w:rPr>
          <w:b/>
          <w:sz w:val="40"/>
          <w:szCs w:val="40"/>
          <w:highlight w:val="yellow"/>
        </w:rPr>
        <w:t>Maybe also send to EMS/Emergency Management?</w:t>
      </w:r>
    </w:p>
    <w:p w14:paraId="63F5BB77" w14:textId="0F17F958" w:rsidR="00A918A3" w:rsidRPr="002170F5" w:rsidRDefault="00A918A3" w:rsidP="00A918A3">
      <w:r w:rsidRPr="002170F5">
        <w:t>TO: Health Care Providers in Catawba County</w:t>
      </w:r>
      <w:r w:rsidR="00ED4B83">
        <w:br/>
      </w:r>
      <w:r w:rsidRPr="002170F5">
        <w:t>FROM: Catawba County Public Health Director Jennifer McCracken</w:t>
      </w:r>
      <w:r w:rsidR="00ED4B83">
        <w:t>, RN, MPA</w:t>
      </w:r>
      <w:r w:rsidR="00ED4B83">
        <w:br/>
      </w:r>
      <w:r w:rsidRPr="002170F5">
        <w:t>DATE:</w:t>
      </w:r>
      <w:r w:rsidRPr="00D021E4">
        <w:rPr>
          <w:color w:val="FF0000"/>
        </w:rPr>
        <w:t xml:space="preserve"> XXXXXX</w:t>
      </w:r>
    </w:p>
    <w:p w14:paraId="6525A3C3" w14:textId="77777777" w:rsidR="00A918A3" w:rsidRPr="002170F5" w:rsidRDefault="00A918A3" w:rsidP="00A918A3"/>
    <w:p w14:paraId="197F4F05" w14:textId="77777777" w:rsidR="00064313" w:rsidRDefault="00064313" w:rsidP="00D021E4">
      <w:pPr>
        <w:jc w:val="center"/>
        <w:rPr>
          <w:b/>
          <w:bCs/>
          <w:sz w:val="28"/>
          <w:szCs w:val="28"/>
        </w:rPr>
      </w:pPr>
      <w:r>
        <w:rPr>
          <w:b/>
          <w:bCs/>
          <w:sz w:val="28"/>
          <w:szCs w:val="28"/>
        </w:rPr>
        <w:t>MEASLES CASE IDENTIFIED IN CATAWBA COUNTY</w:t>
      </w:r>
    </w:p>
    <w:p w14:paraId="70086061" w14:textId="6209A858" w:rsidR="00A918A3" w:rsidRPr="00ED4B83" w:rsidRDefault="00064313" w:rsidP="00D021E4">
      <w:pPr>
        <w:jc w:val="center"/>
        <w:rPr>
          <w:b/>
          <w:bCs/>
          <w:sz w:val="28"/>
          <w:szCs w:val="28"/>
        </w:rPr>
      </w:pPr>
      <w:r>
        <w:rPr>
          <w:b/>
          <w:bCs/>
          <w:sz w:val="28"/>
          <w:szCs w:val="28"/>
        </w:rPr>
        <w:t xml:space="preserve">HEALTH CARE PROVIDERS SHOULD </w:t>
      </w:r>
      <w:r w:rsidR="00A918A3" w:rsidRPr="00ED4B83">
        <w:rPr>
          <w:b/>
          <w:bCs/>
          <w:sz w:val="28"/>
          <w:szCs w:val="28"/>
        </w:rPr>
        <w:t>BE ALERT FOR MEASLES SYMPTOMS</w:t>
      </w:r>
    </w:p>
    <w:p w14:paraId="03DF8189" w14:textId="23374926" w:rsidR="00ED4B83" w:rsidRDefault="00A918A3" w:rsidP="00ED4B83">
      <w:pPr>
        <w:rPr>
          <w:bCs/>
        </w:rPr>
      </w:pPr>
      <w:r w:rsidRPr="002170F5">
        <w:t xml:space="preserve">A case of measles has been identified in </w:t>
      </w:r>
      <w:r w:rsidR="00AD4F00">
        <w:t>North Carolina</w:t>
      </w:r>
      <w:r w:rsidR="00D021E4">
        <w:t xml:space="preserve"> and providers</w:t>
      </w:r>
      <w:r w:rsidR="00275D08">
        <w:t xml:space="preserve"> and pharmacists</w:t>
      </w:r>
      <w:r w:rsidR="00D021E4">
        <w:t xml:space="preserve"> should be alert to anyone with possible measles symptoms</w:t>
      </w:r>
      <w:r w:rsidRPr="002170F5">
        <w:t>.</w:t>
      </w:r>
      <w:r w:rsidR="00ED4B83">
        <w:t xml:space="preserve"> </w:t>
      </w:r>
      <w:r w:rsidR="00ED4B83" w:rsidRPr="00ED4B83">
        <w:rPr>
          <w:bCs/>
        </w:rPr>
        <w:t xml:space="preserve">This is an evolving situation and additional public health recommendations may be </w:t>
      </w:r>
      <w:r w:rsidR="00ED4B83" w:rsidRPr="00AD4F00">
        <w:rPr>
          <w:bCs/>
          <w:highlight w:val="yellow"/>
        </w:rPr>
        <w:t xml:space="preserve">forthcoming </w:t>
      </w:r>
      <w:r w:rsidR="00AD4F00" w:rsidRPr="00AD4F00">
        <w:rPr>
          <w:bCs/>
          <w:highlight w:val="yellow"/>
        </w:rPr>
        <w:t>as information becomes available.</w:t>
      </w:r>
      <w:r w:rsidR="00AD4F00">
        <w:rPr>
          <w:bCs/>
        </w:rPr>
        <w:t xml:space="preserve"> </w:t>
      </w:r>
    </w:p>
    <w:p w14:paraId="1DA14E70" w14:textId="6B4E3EE4" w:rsidR="006F5BCE" w:rsidRDefault="006F5BCE" w:rsidP="006F5BCE">
      <w:pPr>
        <w:spacing w:line="240" w:lineRule="auto"/>
        <w:rPr>
          <w:bCs/>
        </w:rPr>
      </w:pPr>
      <w:r w:rsidRPr="00ED4B83">
        <w:rPr>
          <w:bCs/>
        </w:rPr>
        <w:t>Prompt recognition, reporting, and investigation of measles is important because the spread of the disease can be limited with early case identification</w:t>
      </w:r>
      <w:r w:rsidR="00AD4F00">
        <w:rPr>
          <w:bCs/>
        </w:rPr>
        <w:t xml:space="preserve">, isolation </w:t>
      </w:r>
      <w:r w:rsidRPr="00ED4B83">
        <w:rPr>
          <w:bCs/>
        </w:rPr>
        <w:t>and vaccination of susceptible contacts.</w:t>
      </w:r>
    </w:p>
    <w:p w14:paraId="504AF36E" w14:textId="77777777" w:rsidR="006F5BCE" w:rsidRDefault="006F5BCE" w:rsidP="006F5BCE">
      <w:r>
        <w:t xml:space="preserve">Pharmacists should also be alert to questions about creams for rashes of unknown origin and high fevers, for example, and should encourage people to contact their health care provider to get a diagnosis. </w:t>
      </w:r>
    </w:p>
    <w:p w14:paraId="14C2B3CE" w14:textId="055B3348" w:rsidR="00B270A0" w:rsidRDefault="00ED4B83" w:rsidP="00B270A0">
      <w:r>
        <w:t>In the U.S., t</w:t>
      </w:r>
      <w:r w:rsidR="00B270A0" w:rsidRPr="00B270A0">
        <w:t>he risk of measles remains low for most people due to high overall immunization coverage</w:t>
      </w:r>
      <w:r>
        <w:t xml:space="preserve">, but people who have not received a measles vaccine are at increased risk of disease. </w:t>
      </w:r>
      <w:r w:rsidR="00B270A0" w:rsidRPr="00B270A0">
        <w:t>Measles-mumps-rubella (MMR) vaccination remains the best way to protect against measles and its complications.</w:t>
      </w:r>
    </w:p>
    <w:p w14:paraId="7624EF12" w14:textId="77777777" w:rsidR="006F5BCE" w:rsidRDefault="006F5BCE" w:rsidP="006F5BCE">
      <w:r w:rsidRPr="00B270A0">
        <w:t>Measles can be severe, especially in young children. Since January 1, 2025, more than 1 in 10 reported measles cases in the United States have been hospitalized.</w:t>
      </w:r>
    </w:p>
    <w:p w14:paraId="45E1DEF0" w14:textId="77777777" w:rsidR="00ED4B83" w:rsidRPr="00ED4B83" w:rsidRDefault="00ED4B83" w:rsidP="00ED4B83">
      <w:pPr>
        <w:rPr>
          <w:bCs/>
        </w:rPr>
      </w:pPr>
    </w:p>
    <w:p w14:paraId="5B917F3D" w14:textId="7BB42B5C" w:rsidR="00ED4B83" w:rsidRPr="00ED4B83" w:rsidRDefault="00ED4B83" w:rsidP="00ED4B83">
      <w:pPr>
        <w:jc w:val="center"/>
        <w:rPr>
          <w:b/>
          <w:bCs/>
          <w:sz w:val="28"/>
          <w:szCs w:val="28"/>
          <w:u w:val="single"/>
        </w:rPr>
      </w:pPr>
      <w:r w:rsidRPr="00ED4B83">
        <w:rPr>
          <w:b/>
          <w:bCs/>
          <w:sz w:val="28"/>
          <w:szCs w:val="28"/>
          <w:u w:val="single"/>
        </w:rPr>
        <w:t xml:space="preserve">Health care providers are required by North Carolina law to report cases of measles </w:t>
      </w:r>
      <w:r>
        <w:rPr>
          <w:b/>
          <w:bCs/>
          <w:sz w:val="28"/>
          <w:szCs w:val="28"/>
          <w:u w:val="single"/>
        </w:rPr>
        <w:t xml:space="preserve">within 24 hours </w:t>
      </w:r>
      <w:r w:rsidRPr="00ED4B83">
        <w:rPr>
          <w:b/>
          <w:bCs/>
          <w:sz w:val="28"/>
          <w:szCs w:val="28"/>
          <w:u w:val="single"/>
        </w:rPr>
        <w:t>to the local health department. Providers should report both suspected/probable and laboratory-confirmed cases.</w:t>
      </w:r>
    </w:p>
    <w:p w14:paraId="06E63967" w14:textId="573CBF2D" w:rsidR="00064313" w:rsidRDefault="00064313" w:rsidP="00064313">
      <w:pPr>
        <w:pStyle w:val="Heading2"/>
      </w:pPr>
      <w:r>
        <w:lastRenderedPageBreak/>
        <w:t>Where to report</w:t>
      </w:r>
    </w:p>
    <w:p w14:paraId="245196DE" w14:textId="167E5096" w:rsidR="00064313" w:rsidRDefault="00ED4B83" w:rsidP="00064313">
      <w:pPr>
        <w:pStyle w:val="ListParagraph"/>
        <w:numPr>
          <w:ilvl w:val="0"/>
          <w:numId w:val="8"/>
        </w:numPr>
      </w:pPr>
      <w:r w:rsidRPr="00ED4B83">
        <w:t>Catawba County Public Health</w:t>
      </w:r>
      <w:r w:rsidR="00A82B41">
        <w:t>’s</w:t>
      </w:r>
      <w:r w:rsidRPr="00ED4B83">
        <w:t xml:space="preserve"> Communicable Disease Team</w:t>
      </w:r>
      <w:r w:rsidR="00A82B41">
        <w:t xml:space="preserve">: Call </w:t>
      </w:r>
      <w:r w:rsidRPr="00ED4B83">
        <w:t>(828) 695-5800</w:t>
      </w:r>
      <w:r w:rsidR="00A82B41">
        <w:t xml:space="preserve"> (available 8 AM to 5 PM) or fax </w:t>
      </w:r>
      <w:r w:rsidRPr="00ED4B83">
        <w:t>(828) 695-5103</w:t>
      </w:r>
    </w:p>
    <w:p w14:paraId="784ED1AC" w14:textId="607930CA" w:rsidR="00A82B41" w:rsidRPr="00ED4B83" w:rsidRDefault="00A82B41" w:rsidP="00064313">
      <w:pPr>
        <w:pStyle w:val="ListParagraph"/>
        <w:numPr>
          <w:ilvl w:val="0"/>
          <w:numId w:val="8"/>
        </w:numPr>
      </w:pPr>
      <w:r>
        <w:t xml:space="preserve">North Carolina’s </w:t>
      </w:r>
      <w:r w:rsidRPr="00E93B10">
        <w:t>Communicable Disease Branch</w:t>
      </w:r>
      <w:r>
        <w:t xml:space="preserve"> (</w:t>
      </w:r>
      <w:r w:rsidRPr="00E93B10">
        <w:t>available 24/7)</w:t>
      </w:r>
      <w:r>
        <w:t xml:space="preserve">: Call </w:t>
      </w:r>
      <w:r w:rsidRPr="00E93B10">
        <w:t xml:space="preserve">(919) 733-3419 </w:t>
      </w:r>
    </w:p>
    <w:p w14:paraId="780CE32A" w14:textId="3818D450" w:rsidR="00ED4B83" w:rsidRPr="000F58B4" w:rsidRDefault="00ED4B83" w:rsidP="00064313">
      <w:pPr>
        <w:rPr>
          <w:b/>
          <w:bCs/>
        </w:rPr>
      </w:pPr>
      <w:r w:rsidRPr="000F58B4">
        <w:rPr>
          <w:b/>
          <w:bCs/>
        </w:rPr>
        <w:t xml:space="preserve">North Carolina’s Communicable Disease Reporting Form: </w:t>
      </w:r>
      <w:hyperlink r:id="rId10" w:tooltip="https://epi.dph.ncdhhs.gov/cd/docs/ConfidentialCommunicableDiseaseReport_Part1.pdf" w:history="1">
        <w:r w:rsidRPr="000F58B4">
          <w:rPr>
            <w:rStyle w:val="Hyperlink"/>
            <w:b/>
            <w:bCs/>
          </w:rPr>
          <w:t>https://epi.dph.ncdhhs.gov/cd/docs/ConfidentialCommunicableDiseaseReport_Part1.pdf</w:t>
        </w:r>
      </w:hyperlink>
      <w:r w:rsidRPr="000F58B4">
        <w:rPr>
          <w:b/>
          <w:bCs/>
        </w:rPr>
        <w:t xml:space="preserve"> </w:t>
      </w:r>
    </w:p>
    <w:p w14:paraId="699D7346" w14:textId="77777777" w:rsidR="00ED4B83" w:rsidRDefault="00ED4B83" w:rsidP="00ED4B83">
      <w:pPr>
        <w:spacing w:line="240" w:lineRule="auto"/>
        <w:rPr>
          <w:rFonts w:ascii="Tw Cen MT" w:hAnsi="Tw Cen MT"/>
        </w:rPr>
      </w:pPr>
    </w:p>
    <w:p w14:paraId="3598B907" w14:textId="77777777" w:rsidR="006F5BCE" w:rsidRPr="0044007C" w:rsidRDefault="006F5BCE" w:rsidP="006F5BCE">
      <w:pPr>
        <w:pStyle w:val="Heading2"/>
        <w:spacing w:line="240" w:lineRule="auto"/>
      </w:pPr>
      <w:r w:rsidRPr="0044007C">
        <w:t>Characteristics of Recent Cases</w:t>
      </w:r>
    </w:p>
    <w:p w14:paraId="3EFF1ED4" w14:textId="77777777" w:rsidR="006F5BCE" w:rsidRPr="0044007C" w:rsidRDefault="006F5BCE" w:rsidP="006F5BCE">
      <w:pPr>
        <w:spacing w:line="240" w:lineRule="auto"/>
      </w:pPr>
      <w:r w:rsidRPr="0044007C">
        <w:t>Most of the recent cases</w:t>
      </w:r>
      <w:r>
        <w:t xml:space="preserve"> in the U.S. have been </w:t>
      </w:r>
      <w:r w:rsidRPr="0044007C">
        <w:t xml:space="preserve">among children and adolescents who had not received a </w:t>
      </w:r>
      <w:r>
        <w:t>measles vaccine.</w:t>
      </w:r>
    </w:p>
    <w:p w14:paraId="5C4E8A53" w14:textId="29E586F2" w:rsidR="006F5BCE" w:rsidRDefault="006F5BCE" w:rsidP="006F5BCE">
      <w:pPr>
        <w:spacing w:line="240" w:lineRule="auto"/>
      </w:pPr>
      <w:r>
        <w:t>Aside from a large outbreak in the U.S. southwest, nearly all recent m</w:t>
      </w:r>
      <w:r w:rsidRPr="0044007C">
        <w:t xml:space="preserve">easles cases </w:t>
      </w:r>
      <w:r>
        <w:t xml:space="preserve">have occurred after </w:t>
      </w:r>
      <w:r w:rsidRPr="0044007C">
        <w:t xml:space="preserve">unvaccinated or under-vaccinated residents </w:t>
      </w:r>
      <w:r w:rsidR="00593039">
        <w:t xml:space="preserve">who </w:t>
      </w:r>
      <w:r>
        <w:t xml:space="preserve">have </w:t>
      </w:r>
      <w:r w:rsidRPr="0044007C">
        <w:t>travel</w:t>
      </w:r>
      <w:r>
        <w:t>ed</w:t>
      </w:r>
      <w:r w:rsidRPr="0044007C">
        <w:t xml:space="preserve"> internationally</w:t>
      </w:r>
      <w:r>
        <w:t xml:space="preserve"> to countries where the virus is more common</w:t>
      </w:r>
      <w:r w:rsidR="00AD4F00">
        <w:t>. These individuals</w:t>
      </w:r>
      <w:r w:rsidRPr="0044007C">
        <w:t xml:space="preserve"> become infected, return to the United States, then transmit the disease to </w:t>
      </w:r>
      <w:r>
        <w:t xml:space="preserve">other </w:t>
      </w:r>
      <w:r w:rsidRPr="0044007C">
        <w:t>people in the U.S. who are not vaccinated against measles. The increased number of measles importations seen in recent weeks is reflective of a rise in global measles cases.</w:t>
      </w:r>
    </w:p>
    <w:p w14:paraId="65A26F32" w14:textId="287F2FB3" w:rsidR="00AD4F00" w:rsidRDefault="00AD4F00" w:rsidP="006F5BCE">
      <w:pPr>
        <w:spacing w:line="240" w:lineRule="auto"/>
      </w:pPr>
      <w:r>
        <w:t xml:space="preserve">The </w:t>
      </w:r>
      <w:r w:rsidR="00593039">
        <w:t>first case of</w:t>
      </w:r>
      <w:r>
        <w:t xml:space="preserve"> measles</w:t>
      </w:r>
      <w:r w:rsidR="00593039">
        <w:t xml:space="preserve"> in North Carolina</w:t>
      </w:r>
      <w:r>
        <w:t xml:space="preserve"> </w:t>
      </w:r>
      <w:r w:rsidR="00593039">
        <w:t>has been confirmed</w:t>
      </w:r>
      <w:r>
        <w:t xml:space="preserve"> in a child who was visiting Forsyth and Guilford counties</w:t>
      </w:r>
      <w:r w:rsidR="00593039">
        <w:t>. This child became</w:t>
      </w:r>
      <w:r>
        <w:t xml:space="preserve"> ill while traveling from another country where measles outbreaks have recently been reported. North Carolina Department of Health and Human Services has identified the following locations and times where people may have been exposed to measles</w:t>
      </w:r>
      <w:r w:rsidR="00593039">
        <w:t>:</w:t>
      </w:r>
      <w:r>
        <w:br/>
      </w:r>
      <w:r>
        <w:br/>
      </w:r>
      <w:r>
        <w:rPr>
          <w:noProof/>
        </w:rPr>
        <w:drawing>
          <wp:inline distT="0" distB="0" distL="0" distR="0" wp14:anchorId="11FF7E45" wp14:editId="6C4EF3E1">
            <wp:extent cx="5943600" cy="3468370"/>
            <wp:effectExtent l="0" t="0" r="0" b="0"/>
            <wp:docPr id="783110554" name="Picture 1" descr="dates, times and locations of potential measles exposure after first case identified in 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s, times and locations of potential measles exposure after first case identified in N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68370"/>
                    </a:xfrm>
                    <a:prstGeom prst="rect">
                      <a:avLst/>
                    </a:prstGeom>
                    <a:noFill/>
                    <a:ln>
                      <a:noFill/>
                    </a:ln>
                  </pic:spPr>
                </pic:pic>
              </a:graphicData>
            </a:graphic>
          </wp:inline>
        </w:drawing>
      </w:r>
    </w:p>
    <w:p w14:paraId="11F03336" w14:textId="7BBCFA39" w:rsidR="00593039" w:rsidRPr="0044007C" w:rsidRDefault="00593039" w:rsidP="006F5BCE">
      <w:pPr>
        <w:spacing w:line="240" w:lineRule="auto"/>
      </w:pPr>
      <w:r>
        <w:t xml:space="preserve">Any patients who report a potential exposure to measles should be advised to call ahead before visiting a doctor or emergency room. Laboratory testing is not recommended for people who were exposed unless they develop symptoms. Those who are unvaccinated, under vaccinated or have no presumptive evidence of immunity may be eligible for post-exposure prophylaxis to reduce their risk of becoming ill. </w:t>
      </w:r>
    </w:p>
    <w:p w14:paraId="4C1D6DCA" w14:textId="77777777" w:rsidR="006F5BCE" w:rsidRPr="0044007C" w:rsidRDefault="006F5BCE" w:rsidP="006F5BCE">
      <w:pPr>
        <w:pStyle w:val="Heading2"/>
        <w:spacing w:line="240" w:lineRule="auto"/>
      </w:pPr>
      <w:r w:rsidRPr="0044007C">
        <w:lastRenderedPageBreak/>
        <w:br/>
        <w:t>Characteristics of the Disease</w:t>
      </w:r>
    </w:p>
    <w:p w14:paraId="4C22BF1A" w14:textId="7D999C0F" w:rsidR="00B270A0" w:rsidRDefault="006F5BCE" w:rsidP="00B270A0">
      <w:pPr>
        <w:spacing w:line="240" w:lineRule="auto"/>
        <w:rPr>
          <w:bCs/>
        </w:rPr>
      </w:pPr>
      <w:r w:rsidRPr="0044007C">
        <w:t xml:space="preserve">Measles is a highly infectious acute viral illness; 9 out of </w:t>
      </w:r>
      <w:r w:rsidR="00064313">
        <w:t>10</w:t>
      </w:r>
      <w:r w:rsidRPr="0044007C">
        <w:t xml:space="preserve"> susceptible people will develop illness if exposed. Measles can be spread through coughing, sneezing, and contact with respiratory secretions of an infected person. Illness begins 7</w:t>
      </w:r>
      <w:r w:rsidR="00064313">
        <w:t>-</w:t>
      </w:r>
      <w:r w:rsidRPr="0044007C">
        <w:t>21 days after exposure with a high fever, cough, coryza, and conjunctivitis. Koplik spots may be visible on the buccal mucosa 2-3 days after symptoms begin. After 3</w:t>
      </w:r>
      <w:r w:rsidR="00064313">
        <w:t>-</w:t>
      </w:r>
      <w:r w:rsidRPr="0044007C">
        <w:t xml:space="preserve">7 days of illness, a maculopapular rash begins on the face and spreads to the rest of the body. </w:t>
      </w:r>
      <w:r w:rsidR="00064313">
        <w:t>Patients</w:t>
      </w:r>
      <w:r w:rsidRPr="0044007C">
        <w:t xml:space="preserve"> with measles are contagious from</w:t>
      </w:r>
      <w:r w:rsidR="00064313">
        <w:t xml:space="preserve"> 4</w:t>
      </w:r>
      <w:r w:rsidRPr="0044007C">
        <w:t xml:space="preserve"> days prior to rash onset (with the rash onset considered day zero) through </w:t>
      </w:r>
      <w:r w:rsidR="00064313">
        <w:t>4</w:t>
      </w:r>
      <w:r w:rsidRPr="0044007C">
        <w:t xml:space="preserve"> days after rash on</w:t>
      </w:r>
      <w:r w:rsidRPr="00AC025A">
        <w:t>set. </w:t>
      </w:r>
      <w:r w:rsidR="00064313" w:rsidRPr="00AC025A">
        <w:t>Measles can cause serious illness and more than 1 in 10 people with measles have been hospitalized this year in the U.S.</w:t>
      </w:r>
      <w:r w:rsidR="00064313">
        <w:t xml:space="preserve"> </w:t>
      </w:r>
    </w:p>
    <w:p w14:paraId="1E5B05A0" w14:textId="77777777" w:rsidR="00AD4F00" w:rsidRPr="00AD4F00" w:rsidRDefault="00AD4F00" w:rsidP="00B270A0">
      <w:pPr>
        <w:spacing w:line="240" w:lineRule="auto"/>
        <w:rPr>
          <w:bCs/>
        </w:rPr>
      </w:pPr>
    </w:p>
    <w:p w14:paraId="6C0A1445" w14:textId="329103F3" w:rsidR="00B270A0" w:rsidRPr="00877853" w:rsidRDefault="00B270A0" w:rsidP="00B270A0">
      <w:pPr>
        <w:pStyle w:val="Heading2"/>
        <w:spacing w:line="240" w:lineRule="auto"/>
      </w:pPr>
      <w:r>
        <w:t>Guidance</w:t>
      </w:r>
      <w:r w:rsidRPr="00877853">
        <w:t xml:space="preserve"> for Health</w:t>
      </w:r>
      <w:r w:rsidR="00064313">
        <w:t xml:space="preserve"> C</w:t>
      </w:r>
      <w:r w:rsidRPr="00877853">
        <w:t>are Providers </w:t>
      </w:r>
    </w:p>
    <w:p w14:paraId="59B89460" w14:textId="35DD788B" w:rsidR="00B270A0" w:rsidRDefault="00B270A0" w:rsidP="00B270A0">
      <w:pPr>
        <w:spacing w:line="240" w:lineRule="auto"/>
      </w:pPr>
      <w:r>
        <w:t>P</w:t>
      </w:r>
      <w:r w:rsidRPr="006008C9">
        <w:t xml:space="preserve">roviders should be on alert for patients who have: </w:t>
      </w:r>
    </w:p>
    <w:p w14:paraId="192103B7" w14:textId="08A04C6E" w:rsidR="00B270A0" w:rsidRDefault="00B270A0" w:rsidP="00B270A0">
      <w:pPr>
        <w:pStyle w:val="ListParagraph"/>
        <w:numPr>
          <w:ilvl w:val="0"/>
          <w:numId w:val="5"/>
        </w:numPr>
        <w:spacing w:line="240" w:lineRule="auto"/>
      </w:pPr>
      <w:r>
        <w:t>F</w:t>
      </w:r>
      <w:r w:rsidRPr="006008C9">
        <w:t xml:space="preserve">ebrile rash illness and </w:t>
      </w:r>
      <w:r w:rsidRPr="006F5BCE">
        <w:t>symptoms consistent with measles</w:t>
      </w:r>
      <w:r w:rsidRPr="006008C9">
        <w:t xml:space="preserve"> (e.g., cough, coryza, or conjunctivitis)</w:t>
      </w:r>
      <w:r>
        <w:t>;</w:t>
      </w:r>
    </w:p>
    <w:p w14:paraId="6527C453" w14:textId="1FE33600" w:rsidR="00AD4F00" w:rsidRDefault="00AD4F00" w:rsidP="00AD4F00">
      <w:pPr>
        <w:pStyle w:val="ListParagraph"/>
        <w:numPr>
          <w:ilvl w:val="0"/>
          <w:numId w:val="5"/>
        </w:numPr>
        <w:spacing w:line="240" w:lineRule="auto"/>
      </w:pPr>
      <w:r>
        <w:t>Have</w:t>
      </w:r>
      <w:r w:rsidR="00B270A0" w:rsidRPr="006008C9">
        <w:t xml:space="preserve"> recently traveled abroad, especially to countries with ongoing measles </w:t>
      </w:r>
      <w:r w:rsidR="00B270A0" w:rsidRPr="006F5BCE">
        <w:t>outbreaks</w:t>
      </w:r>
      <w:r w:rsidR="00064313">
        <w:t xml:space="preserve">, or who have been in contact with someone who is part of a current outbreak in </w:t>
      </w:r>
      <w:r>
        <w:t>North Carolina;</w:t>
      </w:r>
    </w:p>
    <w:p w14:paraId="5EE9C431" w14:textId="677CFCF8" w:rsidR="006F5BCE" w:rsidRDefault="00B270A0" w:rsidP="006F5BCE">
      <w:pPr>
        <w:spacing w:before="100" w:beforeAutospacing="1" w:after="100" w:afterAutospacing="1" w:line="240" w:lineRule="auto"/>
        <w:rPr>
          <w:rFonts w:ascii="Helvetica" w:eastAsia="Times New Roman" w:hAnsi="Helvetica" w:cs="Helvetica"/>
          <w:color w:val="202020"/>
          <w:sz w:val="21"/>
          <w:szCs w:val="21"/>
        </w:rPr>
      </w:pPr>
      <w:r w:rsidRPr="00877853">
        <w:rPr>
          <w:b/>
        </w:rPr>
        <w:t>Isola</w:t>
      </w:r>
      <w:r w:rsidRPr="006F5BCE">
        <w:rPr>
          <w:b/>
        </w:rPr>
        <w:t>te:</w:t>
      </w:r>
      <w:r w:rsidR="006F5BCE" w:rsidRPr="006F5BCE">
        <w:rPr>
          <w:b/>
        </w:rPr>
        <w:t xml:space="preserve"> </w:t>
      </w:r>
      <w:hyperlink r:id="rId12" w:history="1">
        <w:r w:rsidR="006F5BCE" w:rsidRPr="006F5BCE">
          <w:rPr>
            <w:rStyle w:val="Hyperlink"/>
            <w:color w:val="auto"/>
          </w:rPr>
          <w:t>Isolate</w:t>
        </w:r>
      </w:hyperlink>
      <w:r w:rsidR="006F5BCE" w:rsidRPr="006F5BCE">
        <w:t xml:space="preserve"> your patient with suspected measles immediately, ideally in a single-patient airborne infection isolation room (AIIR), or in a private room with a closed door until an AIIR is available. Patients with measles should call ahead so healthcare facilities can limit additional exposures, including offering measles triaging and testing outside the facility. Do not allow patients with suspected measles to remain in the waiting room or other common areas of the healthcare facility. Immediately implement airborne isolation precautions for any patient with suspected or confirmed measles. Rooms that had been occupied by a suspect or confirmed measles patient should not be used for at least two ho</w:t>
      </w:r>
      <w:r w:rsidR="006F5BCE" w:rsidRPr="00E93B10">
        <w:t>urs after the patient leaves.</w:t>
      </w:r>
      <w:r w:rsidR="006F5BCE">
        <w:rPr>
          <w:rFonts w:ascii="Arial" w:eastAsia="Times New Roman" w:hAnsi="Arial" w:cs="Arial"/>
          <w:color w:val="202020"/>
          <w:sz w:val="21"/>
          <w:szCs w:val="21"/>
        </w:rPr>
        <w:t> </w:t>
      </w:r>
      <w:r w:rsidR="006F5BCE">
        <w:rPr>
          <w:rFonts w:ascii="Helvetica" w:eastAsia="Times New Roman" w:hAnsi="Helvetica" w:cs="Helvetica"/>
          <w:color w:val="202020"/>
          <w:sz w:val="21"/>
          <w:szCs w:val="21"/>
        </w:rPr>
        <w:t xml:space="preserve"> </w:t>
      </w:r>
    </w:p>
    <w:p w14:paraId="2D2EBA2E" w14:textId="7A7EB9E4" w:rsidR="006F5BCE" w:rsidRPr="006F5BCE" w:rsidRDefault="00B270A0" w:rsidP="006F5BCE">
      <w:r w:rsidRPr="00793A7A">
        <w:rPr>
          <w:b/>
        </w:rPr>
        <w:t>Notify:</w:t>
      </w:r>
      <w:r w:rsidRPr="006008C9">
        <w:t xml:space="preserve"> </w:t>
      </w:r>
      <w:r w:rsidRPr="00793A7A">
        <w:rPr>
          <w:u w:val="single"/>
        </w:rPr>
        <w:t>Immediately notify</w:t>
      </w:r>
      <w:r w:rsidR="006F5BCE">
        <w:rPr>
          <w:u w:val="single"/>
        </w:rPr>
        <w:t xml:space="preserve"> </w:t>
      </w:r>
      <w:r w:rsidR="006F5BCE">
        <w:t xml:space="preserve">the health department </w:t>
      </w:r>
      <w:r w:rsidRPr="006008C9">
        <w:t xml:space="preserve">about any suspected case of measles to ensure rapid testing and investigation. </w:t>
      </w:r>
      <w:r w:rsidR="006F5BCE" w:rsidRPr="00E93B10">
        <w:t>Contact Catawba County Public Health’s Communicable Disease team at (828) 695-5</w:t>
      </w:r>
      <w:r w:rsidR="006F5BCE" w:rsidRPr="006F5BCE">
        <w:t xml:space="preserve">800 or North Carolina’s Communicable Disease Branch at (919) 733-3419 (available 24/7). You will be provided with guidance on testing, isolating, and managing patients with suspected measles and people exposed to measles. </w:t>
      </w:r>
    </w:p>
    <w:p w14:paraId="1ED74155" w14:textId="52361A17" w:rsidR="006F5BCE" w:rsidRDefault="006F5BCE" w:rsidP="006F5BCE">
      <w:pPr>
        <w:rPr>
          <w:color w:val="FF0000"/>
        </w:rPr>
      </w:pPr>
      <w:r>
        <w:rPr>
          <w:b/>
        </w:rPr>
        <w:t xml:space="preserve">Test: </w:t>
      </w:r>
      <w:r w:rsidR="00B270A0" w:rsidRPr="003606E8">
        <w:t>Detection of measles virus RNA via polymerase chain reaction (PCR) and measles-specific IgM antibody are t</w:t>
      </w:r>
      <w:r w:rsidR="00B270A0" w:rsidRPr="00836A07">
        <w:t>he most common methods for confirming measles infection. </w:t>
      </w:r>
      <w:r w:rsidR="00836A07" w:rsidRPr="00836A07">
        <w:t xml:space="preserve">Please contact </w:t>
      </w:r>
      <w:r w:rsidRPr="00836A07">
        <w:t xml:space="preserve">Catawba County Public Health’s Communicable Disease </w:t>
      </w:r>
      <w:r w:rsidR="00836A07">
        <w:t>T</w:t>
      </w:r>
      <w:r w:rsidRPr="00836A07">
        <w:t>eam is available by calling (828) 695-5800 or North Carolina’s Communicable Disease Branch at (919) 733-3419 (available 24/7) to discuss laboratory testing</w:t>
      </w:r>
      <w:r w:rsidR="00836A07" w:rsidRPr="00836A07">
        <w:t xml:space="preserve"> protocols</w:t>
      </w:r>
      <w:r w:rsidRPr="00836A07">
        <w:t>. </w:t>
      </w:r>
    </w:p>
    <w:p w14:paraId="2E1E269D" w14:textId="75E049EF" w:rsidR="00836A07" w:rsidRPr="00836A07" w:rsidRDefault="00B270A0" w:rsidP="00836A07">
      <w:r w:rsidRPr="00793A7A">
        <w:rPr>
          <w:b/>
        </w:rPr>
        <w:t>Manage:</w:t>
      </w:r>
      <w:r w:rsidRPr="006008C9">
        <w:t xml:space="preserve"> </w:t>
      </w:r>
      <w:r w:rsidR="00836A07" w:rsidRPr="00836A07">
        <w:t>Manage patients with supportive care to relieve symptoms. There is no specific antiviral therapy for measles. Complications, such as pneumonia and other infections, should be appropriately tested for and treated. Vitamin A may be administered to patients with confirmed measles under the supervision of a healthcare provider. Overuse of vitamin A can lead to toxicity and cause damage to the liver, bones, central nervous system, and skin. Pregnant women should avoid taking high levels of vitamin A as it has been linked to severe birth defects.</w:t>
      </w:r>
    </w:p>
    <w:p w14:paraId="0A20B0FF" w14:textId="2C59662A" w:rsidR="006F5BCE" w:rsidRPr="00836A07" w:rsidRDefault="00836A07" w:rsidP="00836A07">
      <w:pPr>
        <w:spacing w:line="240" w:lineRule="auto"/>
      </w:pPr>
      <w:r w:rsidRPr="00836A07">
        <w:rPr>
          <w:b/>
          <w:bCs/>
        </w:rPr>
        <w:lastRenderedPageBreak/>
        <w:t xml:space="preserve">Prophylaxis: </w:t>
      </w:r>
      <w:r w:rsidR="006F5BCE" w:rsidRPr="00836A07">
        <w:t>People exposed to measles who do not have evidence of immunity may be eligible for post-exposure prophylaxis</w:t>
      </w:r>
      <w:r w:rsidRPr="00836A07">
        <w:t>,</w:t>
      </w:r>
      <w:r w:rsidR="006F5BCE" w:rsidRPr="00836A07">
        <w:t xml:space="preserve"> either with MMR vaccine (within 72 hours of exposure) or immunoglobulin (within 6 days of exposure). </w:t>
      </w:r>
    </w:p>
    <w:p w14:paraId="59806A10" w14:textId="3A2E26CB" w:rsidR="00B270A0" w:rsidRPr="00836A07" w:rsidRDefault="00B270A0" w:rsidP="00B270A0">
      <w:pPr>
        <w:spacing w:line="240" w:lineRule="auto"/>
      </w:pPr>
      <w:r w:rsidRPr="00836A07">
        <w:rPr>
          <w:b/>
        </w:rPr>
        <w:t>Avoid Additional Exposures:</w:t>
      </w:r>
      <w:r w:rsidRPr="00836A07">
        <w:t xml:space="preserve"> Health</w:t>
      </w:r>
      <w:r w:rsidR="00836A07" w:rsidRPr="00836A07">
        <w:t xml:space="preserve"> </w:t>
      </w:r>
      <w:r w:rsidRPr="00836A07">
        <w:t>care providers</w:t>
      </w:r>
      <w:r w:rsidR="00836A07" w:rsidRPr="00836A07">
        <w:t xml:space="preserve"> and staff</w:t>
      </w:r>
      <w:r w:rsidRPr="00836A07">
        <w:t xml:space="preserve"> should adhere to standard and airborne precautions when evaluating suspect cases, regardless of vaccination status. </w:t>
      </w:r>
    </w:p>
    <w:p w14:paraId="2E71DD3A" w14:textId="17931B28" w:rsidR="00B270A0" w:rsidRPr="00836A07" w:rsidRDefault="00B270A0" w:rsidP="00B270A0">
      <w:r w:rsidRPr="00836A07">
        <w:t>Only health care personnel with documented immunity to measles (written documentation of two doses of measles containing vaccine, or laboratory evidence of immunity) should attend to patients with suspected or confirmed measles. Health</w:t>
      </w:r>
      <w:r w:rsidR="00836A07" w:rsidRPr="00836A07">
        <w:t xml:space="preserve"> </w:t>
      </w:r>
      <w:r w:rsidRPr="00836A07">
        <w:t xml:space="preserve">care personnel without evidence of immunity who are exposed to measles should be offered the first dose of MMR vaccine and excluded from work from day 5 after the first exposure to day 21 following their last exposure.  </w:t>
      </w:r>
    </w:p>
    <w:p w14:paraId="6140C5BF" w14:textId="77777777" w:rsidR="00B270A0" w:rsidRPr="00836A07" w:rsidRDefault="00B270A0" w:rsidP="00B270A0">
      <w:r w:rsidRPr="00836A07">
        <w:t xml:space="preserve">Notify EMS and/or the receiving facility prior to transporting or referring patients with suspected or confirmed measles to avoid additional exposures.  </w:t>
      </w:r>
    </w:p>
    <w:p w14:paraId="0CEF1BC3" w14:textId="77777777" w:rsidR="00B270A0" w:rsidRPr="00064313" w:rsidRDefault="00B270A0" w:rsidP="00064313">
      <w:r w:rsidRPr="00836A07">
        <w:t>Keep records of anyone who may have been exposed (e.g. other patients in the waiting room) and if possible, prevent exposures by making alternate testing arrangements (e.g. testing outside, using an altern</w:t>
      </w:r>
      <w:r w:rsidRPr="00064313">
        <w:t>ate entrance, bringing the patient in as the last patient of the day).</w:t>
      </w:r>
    </w:p>
    <w:p w14:paraId="5A51F5CB" w14:textId="77777777" w:rsidR="00064313" w:rsidRPr="00064313" w:rsidRDefault="00836A07" w:rsidP="00064313">
      <w:r w:rsidRPr="00064313">
        <w:rPr>
          <w:b/>
          <w:bCs/>
        </w:rPr>
        <w:t>Advocate for Vaccination</w:t>
      </w:r>
      <w:r w:rsidR="00B270A0" w:rsidRPr="00064313">
        <w:rPr>
          <w:b/>
          <w:bCs/>
        </w:rPr>
        <w:t xml:space="preserve">: </w:t>
      </w:r>
      <w:r w:rsidR="00B270A0" w:rsidRPr="00064313">
        <w:t>Parents consider their child’s health</w:t>
      </w:r>
      <w:r w:rsidR="00064313" w:rsidRPr="00064313">
        <w:t xml:space="preserve"> </w:t>
      </w:r>
      <w:r w:rsidR="00B270A0" w:rsidRPr="00064313">
        <w:t>care professionals to be their most trusted source of information when it comes to vaccines; you have a critical role in helping parents choose vaccines for their child. </w:t>
      </w:r>
      <w:r w:rsidR="00064313" w:rsidRPr="00064313">
        <w:t xml:space="preserve">Clinicians should provide MMR vaccine to all unvaccinated patients who are eligible for this vaccine and discuss the importance of MMR vaccine with parents. </w:t>
      </w:r>
    </w:p>
    <w:p w14:paraId="07B330D5" w14:textId="77777777" w:rsidR="00B270A0" w:rsidRPr="00064313" w:rsidRDefault="00B270A0" w:rsidP="00064313">
      <w:r w:rsidRPr="00064313">
        <w:t xml:space="preserve">Vaccination with MMR vaccine is the best way to protect against measles. One dose of measles-containing vaccine administered at age ≥12 months is approximately 93% effective and the effectiveness of 2 doses of measles-containing vaccine is ≥97%.  </w:t>
      </w:r>
    </w:p>
    <w:p w14:paraId="00650E2F" w14:textId="0414F5AA" w:rsidR="00B270A0" w:rsidRPr="00064313" w:rsidRDefault="00064313" w:rsidP="00064313">
      <w:r w:rsidRPr="00064313">
        <w:t xml:space="preserve">Providers should </w:t>
      </w:r>
      <w:r w:rsidR="00B270A0" w:rsidRPr="00064313">
        <w:t xml:space="preserve">utilize the North Carolina Immunization Registry (NCIR) to assess MMR coverage of their eligible patient population and vaccinate those that are not up-to-date. </w:t>
      </w:r>
    </w:p>
    <w:p w14:paraId="3D102CCF" w14:textId="77777777" w:rsidR="00B270A0" w:rsidRPr="00064313" w:rsidRDefault="00B270A0" w:rsidP="00064313">
      <w:r w:rsidRPr="00064313">
        <w:t xml:space="preserve">Healthcare providers should not accept verbal reports of vaccination from parents without written documentation as presumptive evidence of immunity. </w:t>
      </w:r>
    </w:p>
    <w:p w14:paraId="3093DA71" w14:textId="1835EACD" w:rsidR="00B270A0" w:rsidRPr="00064313" w:rsidRDefault="00B270A0" w:rsidP="00064313">
      <w:r w:rsidRPr="00064313">
        <w:t xml:space="preserve">All U.S. residents older than age 6 months without evidence of immunity who will be traveling internationally should receive MMR vaccine prior to departure.  </w:t>
      </w:r>
    </w:p>
    <w:p w14:paraId="67646CE8" w14:textId="18E60FB4" w:rsidR="00B270A0" w:rsidRPr="00064313" w:rsidRDefault="00B270A0" w:rsidP="00064313">
      <w:r w:rsidRPr="00064313">
        <w:t xml:space="preserve">One dose of MMR vaccine, or other presumptive immunity, is sufficient for most U.S. adults born on or after 1957. Presumptive evidence of measles immunity includes:  </w:t>
      </w:r>
    </w:p>
    <w:p w14:paraId="12B2FE04" w14:textId="77777777" w:rsidR="00B270A0" w:rsidRPr="00064313" w:rsidRDefault="00B270A0" w:rsidP="00064313">
      <w:pPr>
        <w:pStyle w:val="ListParagraph"/>
        <w:numPr>
          <w:ilvl w:val="0"/>
          <w:numId w:val="9"/>
        </w:numPr>
      </w:pPr>
      <w:r w:rsidRPr="00064313">
        <w:t xml:space="preserve">One or more doses of a measles-containing vaccine administered on or after the first birthday for pre-school age children and adults not at high risk. </w:t>
      </w:r>
    </w:p>
    <w:p w14:paraId="77C78AFC" w14:textId="77777777" w:rsidR="00B270A0" w:rsidRPr="00064313" w:rsidRDefault="00B270A0" w:rsidP="00064313">
      <w:pPr>
        <w:pStyle w:val="ListParagraph"/>
        <w:numPr>
          <w:ilvl w:val="0"/>
          <w:numId w:val="9"/>
        </w:numPr>
      </w:pPr>
      <w:r w:rsidRPr="00064313">
        <w:t xml:space="preserve">Two doses of measles-containing vaccine, each dose separated by at least 28 days for school-age children and adults at high risk, including college students, healthcare personnel, and international travelers. </w:t>
      </w:r>
    </w:p>
    <w:p w14:paraId="3D2BD3D8" w14:textId="77777777" w:rsidR="00B270A0" w:rsidRPr="00064313" w:rsidRDefault="00B270A0" w:rsidP="00064313">
      <w:pPr>
        <w:pStyle w:val="ListParagraph"/>
        <w:numPr>
          <w:ilvl w:val="0"/>
          <w:numId w:val="9"/>
        </w:numPr>
      </w:pPr>
      <w:r w:rsidRPr="00064313">
        <w:t xml:space="preserve">Birth before 1957.  </w:t>
      </w:r>
    </w:p>
    <w:p w14:paraId="556AC754" w14:textId="77777777" w:rsidR="00B270A0" w:rsidRPr="00064313" w:rsidRDefault="00B270A0" w:rsidP="00064313">
      <w:pPr>
        <w:pStyle w:val="ListParagraph"/>
        <w:numPr>
          <w:ilvl w:val="0"/>
          <w:numId w:val="9"/>
        </w:numPr>
      </w:pPr>
      <w:r w:rsidRPr="00064313">
        <w:t xml:space="preserve">Laboratory evidence of immunity. </w:t>
      </w:r>
    </w:p>
    <w:p w14:paraId="7C6DD4C1" w14:textId="77777777" w:rsidR="00B270A0" w:rsidRPr="00064313" w:rsidRDefault="00B270A0" w:rsidP="00064313">
      <w:pPr>
        <w:pStyle w:val="ListParagraph"/>
        <w:numPr>
          <w:ilvl w:val="0"/>
          <w:numId w:val="9"/>
        </w:numPr>
      </w:pPr>
      <w:r w:rsidRPr="00064313">
        <w:t xml:space="preserve">Laboratory confirmation of disease. </w:t>
      </w:r>
    </w:p>
    <w:p w14:paraId="5A69E0C8" w14:textId="718BC98A" w:rsidR="00B270A0" w:rsidRPr="00064313" w:rsidRDefault="00B270A0" w:rsidP="00064313">
      <w:r w:rsidRPr="00064313">
        <w:lastRenderedPageBreak/>
        <w:t xml:space="preserve">For questions about vaccinations or for patients who are uninsured or underinsured (medical plans do not cover vaccinations), please contact the </w:t>
      </w:r>
      <w:r w:rsidR="00AB267A">
        <w:t xml:space="preserve">Catawba County </w:t>
      </w:r>
      <w:r w:rsidRPr="00064313">
        <w:t>Public Health Immunizations Clinic at (828) 695-5881</w:t>
      </w:r>
      <w:r w:rsidR="00AB267A">
        <w:t xml:space="preserve">. Patients can request an appointment online at </w:t>
      </w:r>
      <w:hyperlink r:id="rId13" w:history="1">
        <w:r w:rsidR="00AB267A" w:rsidRPr="00EB4F85">
          <w:rPr>
            <w:rStyle w:val="Hyperlink"/>
          </w:rPr>
          <w:t>https://www.catawbacountync.gov/county-services/public-health/forms/request-an-appointment/</w:t>
        </w:r>
      </w:hyperlink>
      <w:r w:rsidR="00AB267A">
        <w:t xml:space="preserve">. </w:t>
      </w:r>
    </w:p>
    <w:p w14:paraId="125170C6" w14:textId="77777777" w:rsidR="00F64E71" w:rsidRPr="00B4053A" w:rsidRDefault="00F64E71" w:rsidP="00F64E71"/>
    <w:p w14:paraId="25A38750" w14:textId="77777777" w:rsidR="00803084" w:rsidRPr="006D0EEE" w:rsidRDefault="00803084" w:rsidP="00803084">
      <w:pPr>
        <w:jc w:val="center"/>
        <w:rPr>
          <w:b/>
          <w:sz w:val="40"/>
          <w:szCs w:val="40"/>
        </w:rPr>
      </w:pPr>
      <w:r w:rsidRPr="006D0EEE">
        <w:rPr>
          <w:b/>
          <w:sz w:val="40"/>
          <w:szCs w:val="40"/>
          <w:highlight w:val="yellow"/>
        </w:rPr>
        <w:t>NOT FOR DISTRIBUTION! DRAFT ONLY!</w:t>
      </w:r>
    </w:p>
    <w:p w14:paraId="596022BC" w14:textId="77777777" w:rsidR="000B4B85" w:rsidRPr="00F7377D" w:rsidRDefault="000B4B85" w:rsidP="00F7377D">
      <w:pPr>
        <w:rPr>
          <w:rFonts w:ascii="Tw Cen MT" w:hAnsi="Tw Cen MT"/>
        </w:rPr>
      </w:pPr>
    </w:p>
    <w:sectPr w:rsidR="000B4B85" w:rsidRPr="00F7377D" w:rsidSect="00ED708D">
      <w:headerReference w:type="first" r:id="rId14"/>
      <w:footerReference w:type="first" r:id="rId15"/>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0EBA" w14:textId="77777777" w:rsidR="00F64E71" w:rsidRDefault="00F64E71" w:rsidP="00ED708D">
      <w:pPr>
        <w:spacing w:after="0" w:line="240" w:lineRule="auto"/>
      </w:pPr>
      <w:r>
        <w:separator/>
      </w:r>
    </w:p>
  </w:endnote>
  <w:endnote w:type="continuationSeparator" w:id="0">
    <w:p w14:paraId="7D525F86" w14:textId="77777777" w:rsidR="00F64E71" w:rsidRDefault="00F64E71" w:rsidP="00ED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A98" w14:textId="77777777" w:rsidR="00755BBA" w:rsidRDefault="00755BBA" w:rsidP="00755BBA">
    <w:pPr>
      <w:pStyle w:val="Footer"/>
      <w:spacing w:before="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3C2B" w14:textId="77777777" w:rsidR="00F64E71" w:rsidRDefault="00F64E71" w:rsidP="00ED708D">
      <w:pPr>
        <w:spacing w:after="0" w:line="240" w:lineRule="auto"/>
      </w:pPr>
      <w:r>
        <w:separator/>
      </w:r>
    </w:p>
  </w:footnote>
  <w:footnote w:type="continuationSeparator" w:id="0">
    <w:p w14:paraId="61528FC9" w14:textId="77777777" w:rsidR="00F64E71" w:rsidRDefault="00F64E71" w:rsidP="00ED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8EDA" w14:textId="77777777" w:rsidR="00ED708D" w:rsidRDefault="00BE18A8" w:rsidP="00755BBA">
    <w:pPr>
      <w:pStyle w:val="Header"/>
      <w:spacing w:after="2200"/>
    </w:pPr>
    <w:r>
      <w:rPr>
        <w:noProof/>
      </w:rPr>
      <w:drawing>
        <wp:anchor distT="0" distB="0" distL="114300" distR="114300" simplePos="0" relativeHeight="251658240" behindDoc="1" locked="0" layoutInCell="1" allowOverlap="1" wp14:anchorId="28C41C85" wp14:editId="0686EA58">
          <wp:simplePos x="0" y="0"/>
          <wp:positionH relativeFrom="column">
            <wp:posOffset>-914400</wp:posOffset>
          </wp:positionH>
          <wp:positionV relativeFrom="paragraph">
            <wp:posOffset>-457200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ublic Health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47E"/>
    <w:multiLevelType w:val="hybridMultilevel"/>
    <w:tmpl w:val="140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D6104"/>
    <w:multiLevelType w:val="hybridMultilevel"/>
    <w:tmpl w:val="5BF6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1B38"/>
    <w:multiLevelType w:val="hybridMultilevel"/>
    <w:tmpl w:val="50D0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53D91"/>
    <w:multiLevelType w:val="hybridMultilevel"/>
    <w:tmpl w:val="2C0E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149AF"/>
    <w:multiLevelType w:val="multilevel"/>
    <w:tmpl w:val="3B98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E541F"/>
    <w:multiLevelType w:val="hybridMultilevel"/>
    <w:tmpl w:val="FD02F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231D1"/>
    <w:multiLevelType w:val="hybridMultilevel"/>
    <w:tmpl w:val="B144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B5C1C"/>
    <w:multiLevelType w:val="hybridMultilevel"/>
    <w:tmpl w:val="2AF07CC0"/>
    <w:lvl w:ilvl="0" w:tplc="76FE523A">
      <w:start w:val="1"/>
      <w:numFmt w:val="bullet"/>
      <w:lvlText w:val=""/>
      <w:lvlJc w:val="left"/>
      <w:pPr>
        <w:ind w:left="720" w:hanging="360"/>
      </w:pPr>
      <w:rPr>
        <w:rFonts w:ascii="Symbol" w:hAnsi="Symbol" w:hint="default"/>
      </w:rPr>
    </w:lvl>
    <w:lvl w:ilvl="1" w:tplc="036A313E">
      <w:start w:val="1"/>
      <w:numFmt w:val="bullet"/>
      <w:lvlText w:val="o"/>
      <w:lvlJc w:val="left"/>
      <w:pPr>
        <w:ind w:left="1440" w:hanging="360"/>
      </w:pPr>
      <w:rPr>
        <w:rFonts w:ascii="Courier New" w:hAnsi="Courier New" w:hint="default"/>
      </w:rPr>
    </w:lvl>
    <w:lvl w:ilvl="2" w:tplc="6298F9BE">
      <w:start w:val="1"/>
      <w:numFmt w:val="bullet"/>
      <w:lvlText w:val=""/>
      <w:lvlJc w:val="left"/>
      <w:pPr>
        <w:ind w:left="2160" w:hanging="360"/>
      </w:pPr>
      <w:rPr>
        <w:rFonts w:ascii="Wingdings" w:hAnsi="Wingdings" w:hint="default"/>
      </w:rPr>
    </w:lvl>
    <w:lvl w:ilvl="3" w:tplc="B7329FAE">
      <w:start w:val="1"/>
      <w:numFmt w:val="bullet"/>
      <w:lvlText w:val=""/>
      <w:lvlJc w:val="left"/>
      <w:pPr>
        <w:ind w:left="2880" w:hanging="360"/>
      </w:pPr>
      <w:rPr>
        <w:rFonts w:ascii="Symbol" w:hAnsi="Symbol" w:hint="default"/>
      </w:rPr>
    </w:lvl>
    <w:lvl w:ilvl="4" w:tplc="607AC7BC">
      <w:start w:val="1"/>
      <w:numFmt w:val="bullet"/>
      <w:lvlText w:val="o"/>
      <w:lvlJc w:val="left"/>
      <w:pPr>
        <w:ind w:left="3600" w:hanging="360"/>
      </w:pPr>
      <w:rPr>
        <w:rFonts w:ascii="Courier New" w:hAnsi="Courier New" w:hint="default"/>
      </w:rPr>
    </w:lvl>
    <w:lvl w:ilvl="5" w:tplc="317016A4">
      <w:start w:val="1"/>
      <w:numFmt w:val="bullet"/>
      <w:lvlText w:val=""/>
      <w:lvlJc w:val="left"/>
      <w:pPr>
        <w:ind w:left="4320" w:hanging="360"/>
      </w:pPr>
      <w:rPr>
        <w:rFonts w:ascii="Wingdings" w:hAnsi="Wingdings" w:hint="default"/>
      </w:rPr>
    </w:lvl>
    <w:lvl w:ilvl="6" w:tplc="DB68A088">
      <w:start w:val="1"/>
      <w:numFmt w:val="bullet"/>
      <w:lvlText w:val=""/>
      <w:lvlJc w:val="left"/>
      <w:pPr>
        <w:ind w:left="5040" w:hanging="360"/>
      </w:pPr>
      <w:rPr>
        <w:rFonts w:ascii="Symbol" w:hAnsi="Symbol" w:hint="default"/>
      </w:rPr>
    </w:lvl>
    <w:lvl w:ilvl="7" w:tplc="06BE1CFC">
      <w:start w:val="1"/>
      <w:numFmt w:val="bullet"/>
      <w:lvlText w:val="o"/>
      <w:lvlJc w:val="left"/>
      <w:pPr>
        <w:ind w:left="5760" w:hanging="360"/>
      </w:pPr>
      <w:rPr>
        <w:rFonts w:ascii="Courier New" w:hAnsi="Courier New" w:hint="default"/>
      </w:rPr>
    </w:lvl>
    <w:lvl w:ilvl="8" w:tplc="694ACC8A">
      <w:start w:val="1"/>
      <w:numFmt w:val="bullet"/>
      <w:lvlText w:val=""/>
      <w:lvlJc w:val="left"/>
      <w:pPr>
        <w:ind w:left="6480" w:hanging="360"/>
      </w:pPr>
      <w:rPr>
        <w:rFonts w:ascii="Wingdings" w:hAnsi="Wingdings" w:hint="default"/>
      </w:rPr>
    </w:lvl>
  </w:abstractNum>
  <w:abstractNum w:abstractNumId="8" w15:restartNumberingAfterBreak="0">
    <w:nsid w:val="6BC83187"/>
    <w:multiLevelType w:val="hybridMultilevel"/>
    <w:tmpl w:val="8D8C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720280">
    <w:abstractNumId w:val="7"/>
  </w:num>
  <w:num w:numId="2" w16cid:durableId="1034190050">
    <w:abstractNumId w:val="1"/>
  </w:num>
  <w:num w:numId="3" w16cid:durableId="1433547641">
    <w:abstractNumId w:val="5"/>
  </w:num>
  <w:num w:numId="4" w16cid:durableId="1642925473">
    <w:abstractNumId w:val="2"/>
  </w:num>
  <w:num w:numId="5" w16cid:durableId="1014188744">
    <w:abstractNumId w:val="3"/>
  </w:num>
  <w:num w:numId="6" w16cid:durableId="1540387695">
    <w:abstractNumId w:val="6"/>
  </w:num>
  <w:num w:numId="7" w16cid:durableId="844591821">
    <w:abstractNumId w:val="4"/>
  </w:num>
  <w:num w:numId="8" w16cid:durableId="1210146362">
    <w:abstractNumId w:val="0"/>
  </w:num>
  <w:num w:numId="9" w16cid:durableId="105732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71"/>
    <w:rsid w:val="00030560"/>
    <w:rsid w:val="0004605D"/>
    <w:rsid w:val="00064313"/>
    <w:rsid w:val="0006E136"/>
    <w:rsid w:val="000A4AEA"/>
    <w:rsid w:val="000B4B85"/>
    <w:rsid w:val="0012356D"/>
    <w:rsid w:val="00182FE0"/>
    <w:rsid w:val="001B7B05"/>
    <w:rsid w:val="002039D2"/>
    <w:rsid w:val="002539F9"/>
    <w:rsid w:val="00275D08"/>
    <w:rsid w:val="00296903"/>
    <w:rsid w:val="00322BF1"/>
    <w:rsid w:val="003278C7"/>
    <w:rsid w:val="003852BB"/>
    <w:rsid w:val="003A595D"/>
    <w:rsid w:val="003B7C9E"/>
    <w:rsid w:val="003E0FAE"/>
    <w:rsid w:val="00411749"/>
    <w:rsid w:val="00433AE6"/>
    <w:rsid w:val="00493FE8"/>
    <w:rsid w:val="00593039"/>
    <w:rsid w:val="005D4A63"/>
    <w:rsid w:val="005F0D50"/>
    <w:rsid w:val="006C06C9"/>
    <w:rsid w:val="006D0EEE"/>
    <w:rsid w:val="006F5BCE"/>
    <w:rsid w:val="00733CD0"/>
    <w:rsid w:val="00755BBA"/>
    <w:rsid w:val="0076143E"/>
    <w:rsid w:val="007D52BF"/>
    <w:rsid w:val="00803084"/>
    <w:rsid w:val="008303A4"/>
    <w:rsid w:val="00836A07"/>
    <w:rsid w:val="0083B7ED"/>
    <w:rsid w:val="008C7A28"/>
    <w:rsid w:val="008D04F4"/>
    <w:rsid w:val="00957A9C"/>
    <w:rsid w:val="00962FB6"/>
    <w:rsid w:val="00984953"/>
    <w:rsid w:val="00A029FA"/>
    <w:rsid w:val="00A64310"/>
    <w:rsid w:val="00A82B41"/>
    <w:rsid w:val="00A918A3"/>
    <w:rsid w:val="00AB267A"/>
    <w:rsid w:val="00AC025A"/>
    <w:rsid w:val="00AD4F00"/>
    <w:rsid w:val="00B270A0"/>
    <w:rsid w:val="00B32A8B"/>
    <w:rsid w:val="00B425CC"/>
    <w:rsid w:val="00B7100F"/>
    <w:rsid w:val="00B83726"/>
    <w:rsid w:val="00B83D29"/>
    <w:rsid w:val="00B93C07"/>
    <w:rsid w:val="00BE18A8"/>
    <w:rsid w:val="00C166DE"/>
    <w:rsid w:val="00D021E4"/>
    <w:rsid w:val="00DC415C"/>
    <w:rsid w:val="00E05513"/>
    <w:rsid w:val="00E93D05"/>
    <w:rsid w:val="00ED4B83"/>
    <w:rsid w:val="00ED58B4"/>
    <w:rsid w:val="00ED708D"/>
    <w:rsid w:val="00F023BA"/>
    <w:rsid w:val="00F64E71"/>
    <w:rsid w:val="00F7377D"/>
    <w:rsid w:val="0167CAE0"/>
    <w:rsid w:val="01EB956B"/>
    <w:rsid w:val="022048C9"/>
    <w:rsid w:val="0296C674"/>
    <w:rsid w:val="02A889B6"/>
    <w:rsid w:val="039426B0"/>
    <w:rsid w:val="041E31DA"/>
    <w:rsid w:val="043AA8F7"/>
    <w:rsid w:val="05311654"/>
    <w:rsid w:val="06D4F85C"/>
    <w:rsid w:val="06D9A58B"/>
    <w:rsid w:val="07E2A0B9"/>
    <w:rsid w:val="082F615A"/>
    <w:rsid w:val="08BD4491"/>
    <w:rsid w:val="09B846AA"/>
    <w:rsid w:val="0AE03057"/>
    <w:rsid w:val="0B2DDE7F"/>
    <w:rsid w:val="0B365992"/>
    <w:rsid w:val="0BABCFDF"/>
    <w:rsid w:val="0C20C774"/>
    <w:rsid w:val="0CE57D71"/>
    <w:rsid w:val="0EC3005D"/>
    <w:rsid w:val="0ECBF319"/>
    <w:rsid w:val="0FF32E8E"/>
    <w:rsid w:val="10F3F18E"/>
    <w:rsid w:val="1177EF05"/>
    <w:rsid w:val="118A1967"/>
    <w:rsid w:val="12244146"/>
    <w:rsid w:val="1299DEE8"/>
    <w:rsid w:val="12FE617D"/>
    <w:rsid w:val="133DDA41"/>
    <w:rsid w:val="13E0B246"/>
    <w:rsid w:val="1445ED54"/>
    <w:rsid w:val="145B4B0B"/>
    <w:rsid w:val="14802976"/>
    <w:rsid w:val="14D07706"/>
    <w:rsid w:val="14E4D4D9"/>
    <w:rsid w:val="15768939"/>
    <w:rsid w:val="1627113E"/>
    <w:rsid w:val="1639754B"/>
    <w:rsid w:val="172F16B4"/>
    <w:rsid w:val="185B81C9"/>
    <w:rsid w:val="1874593C"/>
    <w:rsid w:val="18DBB059"/>
    <w:rsid w:val="18DC8390"/>
    <w:rsid w:val="19335852"/>
    <w:rsid w:val="19DF991A"/>
    <w:rsid w:val="1A1C9703"/>
    <w:rsid w:val="1A652158"/>
    <w:rsid w:val="1AFB8439"/>
    <w:rsid w:val="1B26550B"/>
    <w:rsid w:val="1B4A8ABD"/>
    <w:rsid w:val="1BB3F9CA"/>
    <w:rsid w:val="1C9F5214"/>
    <w:rsid w:val="1D2C1C65"/>
    <w:rsid w:val="1D9F5CE3"/>
    <w:rsid w:val="1E12565F"/>
    <w:rsid w:val="1E5E45F4"/>
    <w:rsid w:val="1F3EFA1E"/>
    <w:rsid w:val="1F5CADA5"/>
    <w:rsid w:val="1F5EA18F"/>
    <w:rsid w:val="1F7332B2"/>
    <w:rsid w:val="1F96726C"/>
    <w:rsid w:val="1FB3091F"/>
    <w:rsid w:val="1FC182EC"/>
    <w:rsid w:val="20C97CEA"/>
    <w:rsid w:val="219C398C"/>
    <w:rsid w:val="22967DF6"/>
    <w:rsid w:val="23308FCC"/>
    <w:rsid w:val="253250C1"/>
    <w:rsid w:val="268CAB7D"/>
    <w:rsid w:val="27D129A8"/>
    <w:rsid w:val="27DC5C19"/>
    <w:rsid w:val="27F779AB"/>
    <w:rsid w:val="28E43625"/>
    <w:rsid w:val="29E58460"/>
    <w:rsid w:val="2A2B4FC2"/>
    <w:rsid w:val="2ABFD4C5"/>
    <w:rsid w:val="2D145AB0"/>
    <w:rsid w:val="2E06F4F7"/>
    <w:rsid w:val="2E933EAD"/>
    <w:rsid w:val="30AFD221"/>
    <w:rsid w:val="316CB02E"/>
    <w:rsid w:val="31F57409"/>
    <w:rsid w:val="32980E2B"/>
    <w:rsid w:val="3332A84A"/>
    <w:rsid w:val="33BD52CB"/>
    <w:rsid w:val="34910BDC"/>
    <w:rsid w:val="34F0398A"/>
    <w:rsid w:val="3528B0AB"/>
    <w:rsid w:val="35DDFC83"/>
    <w:rsid w:val="39973F91"/>
    <w:rsid w:val="3AB8C2A2"/>
    <w:rsid w:val="3ADE8183"/>
    <w:rsid w:val="3BCB424E"/>
    <w:rsid w:val="3BF6B709"/>
    <w:rsid w:val="3CA17C66"/>
    <w:rsid w:val="3E817006"/>
    <w:rsid w:val="3EBEEC95"/>
    <w:rsid w:val="3F5F7A33"/>
    <w:rsid w:val="3F916A54"/>
    <w:rsid w:val="3FF1DC46"/>
    <w:rsid w:val="40338F66"/>
    <w:rsid w:val="40A2536A"/>
    <w:rsid w:val="41DE67BE"/>
    <w:rsid w:val="41EFD7DC"/>
    <w:rsid w:val="41F64E7B"/>
    <w:rsid w:val="42C2FB61"/>
    <w:rsid w:val="4349805D"/>
    <w:rsid w:val="43940E12"/>
    <w:rsid w:val="4480A453"/>
    <w:rsid w:val="44FB60F8"/>
    <w:rsid w:val="45C60B55"/>
    <w:rsid w:val="466B3D60"/>
    <w:rsid w:val="475691A6"/>
    <w:rsid w:val="480883F9"/>
    <w:rsid w:val="498FD7C1"/>
    <w:rsid w:val="49BC6815"/>
    <w:rsid w:val="4A96A2EB"/>
    <w:rsid w:val="4AC5688D"/>
    <w:rsid w:val="4B14A1A7"/>
    <w:rsid w:val="4B151896"/>
    <w:rsid w:val="4B347754"/>
    <w:rsid w:val="4B4E4295"/>
    <w:rsid w:val="4C39F43C"/>
    <w:rsid w:val="4E0F744D"/>
    <w:rsid w:val="4EA1E709"/>
    <w:rsid w:val="4F0556D3"/>
    <w:rsid w:val="4F3121AA"/>
    <w:rsid w:val="4FBEDCFF"/>
    <w:rsid w:val="50A19419"/>
    <w:rsid w:val="50A6871C"/>
    <w:rsid w:val="50DADA14"/>
    <w:rsid w:val="50DC4136"/>
    <w:rsid w:val="51B62EF5"/>
    <w:rsid w:val="51DDAC87"/>
    <w:rsid w:val="5210CD13"/>
    <w:rsid w:val="5234DBC8"/>
    <w:rsid w:val="526E5667"/>
    <w:rsid w:val="5299108F"/>
    <w:rsid w:val="529BA295"/>
    <w:rsid w:val="52A98DD9"/>
    <w:rsid w:val="536C3E12"/>
    <w:rsid w:val="546B32F5"/>
    <w:rsid w:val="5476962C"/>
    <w:rsid w:val="54FE485A"/>
    <w:rsid w:val="5611C483"/>
    <w:rsid w:val="56475E7F"/>
    <w:rsid w:val="56751A5C"/>
    <w:rsid w:val="56EAC6DC"/>
    <w:rsid w:val="578AECF9"/>
    <w:rsid w:val="57D338BB"/>
    <w:rsid w:val="5847823A"/>
    <w:rsid w:val="588180D6"/>
    <w:rsid w:val="59D20578"/>
    <w:rsid w:val="5A029431"/>
    <w:rsid w:val="5AA33C62"/>
    <w:rsid w:val="5ADB08B4"/>
    <w:rsid w:val="5B223B7D"/>
    <w:rsid w:val="5BC68519"/>
    <w:rsid w:val="5BE16410"/>
    <w:rsid w:val="5C2AD7EC"/>
    <w:rsid w:val="5C649600"/>
    <w:rsid w:val="5C8DF972"/>
    <w:rsid w:val="5CB450B1"/>
    <w:rsid w:val="5D0287A6"/>
    <w:rsid w:val="5D57242A"/>
    <w:rsid w:val="5D5DF6CD"/>
    <w:rsid w:val="5D62F920"/>
    <w:rsid w:val="5E4296DD"/>
    <w:rsid w:val="5EDE8AD6"/>
    <w:rsid w:val="6028001B"/>
    <w:rsid w:val="6036FC78"/>
    <w:rsid w:val="60E79D82"/>
    <w:rsid w:val="61417E88"/>
    <w:rsid w:val="628307BE"/>
    <w:rsid w:val="6286AD6F"/>
    <w:rsid w:val="6287645A"/>
    <w:rsid w:val="62966EE1"/>
    <w:rsid w:val="6323B2A6"/>
    <w:rsid w:val="6348C416"/>
    <w:rsid w:val="641EE66C"/>
    <w:rsid w:val="65C046CA"/>
    <w:rsid w:val="67D47BEE"/>
    <w:rsid w:val="67FC9576"/>
    <w:rsid w:val="68018324"/>
    <w:rsid w:val="686C3725"/>
    <w:rsid w:val="686CB820"/>
    <w:rsid w:val="698DAE70"/>
    <w:rsid w:val="6AC4C231"/>
    <w:rsid w:val="6BB215AA"/>
    <w:rsid w:val="6BD8B812"/>
    <w:rsid w:val="6C4FF557"/>
    <w:rsid w:val="6CCE1009"/>
    <w:rsid w:val="6DBD0835"/>
    <w:rsid w:val="6E0F4A7E"/>
    <w:rsid w:val="6E2552CB"/>
    <w:rsid w:val="6E4F197C"/>
    <w:rsid w:val="6FF0AF9C"/>
    <w:rsid w:val="704A2791"/>
    <w:rsid w:val="71703394"/>
    <w:rsid w:val="717147BB"/>
    <w:rsid w:val="720EA157"/>
    <w:rsid w:val="72CA105C"/>
    <w:rsid w:val="73EFF362"/>
    <w:rsid w:val="74235285"/>
    <w:rsid w:val="74B7A1C4"/>
    <w:rsid w:val="75DD0829"/>
    <w:rsid w:val="75E8456E"/>
    <w:rsid w:val="7637113D"/>
    <w:rsid w:val="765DD390"/>
    <w:rsid w:val="78AF6015"/>
    <w:rsid w:val="78D4BC52"/>
    <w:rsid w:val="78E4393B"/>
    <w:rsid w:val="79CC6907"/>
    <w:rsid w:val="79EBAD0B"/>
    <w:rsid w:val="7BE9821A"/>
    <w:rsid w:val="7C4AC168"/>
    <w:rsid w:val="7C5FE9F2"/>
    <w:rsid w:val="7C74C708"/>
    <w:rsid w:val="7C780CBE"/>
    <w:rsid w:val="7C90ECC9"/>
    <w:rsid w:val="7CA7857F"/>
    <w:rsid w:val="7D2C6DA7"/>
    <w:rsid w:val="7D5B6B74"/>
    <w:rsid w:val="7D5C597D"/>
    <w:rsid w:val="7DD68CC2"/>
    <w:rsid w:val="7DD8FB5F"/>
    <w:rsid w:val="7E65186E"/>
    <w:rsid w:val="7F2EE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DB989B"/>
  <w15:chartTrackingRefBased/>
  <w15:docId w15:val="{16F47EB7-266F-4879-B60E-3768DD18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71"/>
  </w:style>
  <w:style w:type="paragraph" w:styleId="Heading2">
    <w:name w:val="heading 2"/>
    <w:basedOn w:val="Normal"/>
    <w:next w:val="Normal"/>
    <w:link w:val="Heading2Char"/>
    <w:uiPriority w:val="9"/>
    <w:unhideWhenUsed/>
    <w:qFormat/>
    <w:rsid w:val="00B270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8D"/>
  </w:style>
  <w:style w:type="paragraph" w:styleId="Footer">
    <w:name w:val="footer"/>
    <w:basedOn w:val="Normal"/>
    <w:link w:val="FooterChar"/>
    <w:uiPriority w:val="99"/>
    <w:unhideWhenUsed/>
    <w:rsid w:val="00ED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8D"/>
  </w:style>
  <w:style w:type="paragraph" w:styleId="NormalWeb">
    <w:name w:val="Normal (Web)"/>
    <w:basedOn w:val="Normal"/>
    <w:uiPriority w:val="99"/>
    <w:semiHidden/>
    <w:unhideWhenUsed/>
    <w:rsid w:val="00755B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E71"/>
    <w:rPr>
      <w:color w:val="0000FF"/>
      <w:u w:val="single"/>
    </w:rPr>
  </w:style>
  <w:style w:type="paragraph" w:styleId="ListParagraph">
    <w:name w:val="List Paragraph"/>
    <w:basedOn w:val="Normal"/>
    <w:uiPriority w:val="34"/>
    <w:qFormat/>
    <w:rsid w:val="00F64E71"/>
    <w:pPr>
      <w:ind w:left="720"/>
      <w:contextualSpacing/>
    </w:pPr>
  </w:style>
  <w:style w:type="character" w:styleId="UnresolvedMention">
    <w:name w:val="Unresolved Mention"/>
    <w:basedOn w:val="DefaultParagraphFont"/>
    <w:uiPriority w:val="99"/>
    <w:semiHidden/>
    <w:unhideWhenUsed/>
    <w:rsid w:val="00493FE8"/>
    <w:rPr>
      <w:color w:val="605E5C"/>
      <w:shd w:val="clear" w:color="auto" w:fill="E1DFDD"/>
    </w:rPr>
  </w:style>
  <w:style w:type="character" w:customStyle="1" w:styleId="Heading2Char">
    <w:name w:val="Heading 2 Char"/>
    <w:basedOn w:val="DefaultParagraphFont"/>
    <w:link w:val="Heading2"/>
    <w:uiPriority w:val="9"/>
    <w:rsid w:val="00B270A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27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1444">
      <w:bodyDiv w:val="1"/>
      <w:marLeft w:val="0"/>
      <w:marRight w:val="0"/>
      <w:marTop w:val="0"/>
      <w:marBottom w:val="0"/>
      <w:divBdr>
        <w:top w:val="none" w:sz="0" w:space="0" w:color="auto"/>
        <w:left w:val="none" w:sz="0" w:space="0" w:color="auto"/>
        <w:bottom w:val="none" w:sz="0" w:space="0" w:color="auto"/>
        <w:right w:val="none" w:sz="0" w:space="0" w:color="auto"/>
      </w:divBdr>
    </w:div>
    <w:div w:id="204217119">
      <w:bodyDiv w:val="1"/>
      <w:marLeft w:val="0"/>
      <w:marRight w:val="0"/>
      <w:marTop w:val="0"/>
      <w:marBottom w:val="0"/>
      <w:divBdr>
        <w:top w:val="none" w:sz="0" w:space="0" w:color="auto"/>
        <w:left w:val="none" w:sz="0" w:space="0" w:color="auto"/>
        <w:bottom w:val="none" w:sz="0" w:space="0" w:color="auto"/>
        <w:right w:val="none" w:sz="0" w:space="0" w:color="auto"/>
      </w:divBdr>
      <w:divsChild>
        <w:div w:id="682439514">
          <w:marLeft w:val="0"/>
          <w:marRight w:val="0"/>
          <w:marTop w:val="0"/>
          <w:marBottom w:val="0"/>
          <w:divBdr>
            <w:top w:val="none" w:sz="0" w:space="0" w:color="auto"/>
            <w:left w:val="none" w:sz="0" w:space="0" w:color="auto"/>
            <w:bottom w:val="none" w:sz="0" w:space="0" w:color="auto"/>
            <w:right w:val="none" w:sz="0" w:space="0" w:color="auto"/>
          </w:divBdr>
        </w:div>
      </w:divsChild>
    </w:div>
    <w:div w:id="519007932">
      <w:bodyDiv w:val="1"/>
      <w:marLeft w:val="0"/>
      <w:marRight w:val="0"/>
      <w:marTop w:val="0"/>
      <w:marBottom w:val="0"/>
      <w:divBdr>
        <w:top w:val="none" w:sz="0" w:space="0" w:color="auto"/>
        <w:left w:val="none" w:sz="0" w:space="0" w:color="auto"/>
        <w:bottom w:val="none" w:sz="0" w:space="0" w:color="auto"/>
        <w:right w:val="none" w:sz="0" w:space="0" w:color="auto"/>
      </w:divBdr>
    </w:div>
    <w:div w:id="616835504">
      <w:bodyDiv w:val="1"/>
      <w:marLeft w:val="0"/>
      <w:marRight w:val="0"/>
      <w:marTop w:val="0"/>
      <w:marBottom w:val="0"/>
      <w:divBdr>
        <w:top w:val="none" w:sz="0" w:space="0" w:color="auto"/>
        <w:left w:val="none" w:sz="0" w:space="0" w:color="auto"/>
        <w:bottom w:val="none" w:sz="0" w:space="0" w:color="auto"/>
        <w:right w:val="none" w:sz="0" w:space="0" w:color="auto"/>
      </w:divBdr>
      <w:divsChild>
        <w:div w:id="1766073024">
          <w:marLeft w:val="0"/>
          <w:marRight w:val="0"/>
          <w:marTop w:val="0"/>
          <w:marBottom w:val="0"/>
          <w:divBdr>
            <w:top w:val="none" w:sz="0" w:space="0" w:color="auto"/>
            <w:left w:val="none" w:sz="0" w:space="0" w:color="auto"/>
            <w:bottom w:val="none" w:sz="0" w:space="0" w:color="auto"/>
            <w:right w:val="none" w:sz="0" w:space="0" w:color="auto"/>
          </w:divBdr>
        </w:div>
      </w:divsChild>
    </w:div>
    <w:div w:id="822426595">
      <w:bodyDiv w:val="1"/>
      <w:marLeft w:val="0"/>
      <w:marRight w:val="0"/>
      <w:marTop w:val="0"/>
      <w:marBottom w:val="0"/>
      <w:divBdr>
        <w:top w:val="none" w:sz="0" w:space="0" w:color="auto"/>
        <w:left w:val="none" w:sz="0" w:space="0" w:color="auto"/>
        <w:bottom w:val="none" w:sz="0" w:space="0" w:color="auto"/>
        <w:right w:val="none" w:sz="0" w:space="0" w:color="auto"/>
      </w:divBdr>
      <w:divsChild>
        <w:div w:id="1216431617">
          <w:marLeft w:val="0"/>
          <w:marRight w:val="0"/>
          <w:marTop w:val="0"/>
          <w:marBottom w:val="0"/>
          <w:divBdr>
            <w:top w:val="none" w:sz="0" w:space="0" w:color="auto"/>
            <w:left w:val="none" w:sz="0" w:space="0" w:color="auto"/>
            <w:bottom w:val="none" w:sz="0" w:space="0" w:color="auto"/>
            <w:right w:val="none" w:sz="0" w:space="0" w:color="auto"/>
          </w:divBdr>
        </w:div>
      </w:divsChild>
    </w:div>
    <w:div w:id="826169520">
      <w:bodyDiv w:val="1"/>
      <w:marLeft w:val="0"/>
      <w:marRight w:val="0"/>
      <w:marTop w:val="0"/>
      <w:marBottom w:val="0"/>
      <w:divBdr>
        <w:top w:val="none" w:sz="0" w:space="0" w:color="auto"/>
        <w:left w:val="none" w:sz="0" w:space="0" w:color="auto"/>
        <w:bottom w:val="none" w:sz="0" w:space="0" w:color="auto"/>
        <w:right w:val="none" w:sz="0" w:space="0" w:color="auto"/>
      </w:divBdr>
    </w:div>
    <w:div w:id="1341858025">
      <w:bodyDiv w:val="1"/>
      <w:marLeft w:val="0"/>
      <w:marRight w:val="0"/>
      <w:marTop w:val="0"/>
      <w:marBottom w:val="0"/>
      <w:divBdr>
        <w:top w:val="none" w:sz="0" w:space="0" w:color="auto"/>
        <w:left w:val="none" w:sz="0" w:space="0" w:color="auto"/>
        <w:bottom w:val="none" w:sz="0" w:space="0" w:color="auto"/>
        <w:right w:val="none" w:sz="0" w:space="0" w:color="auto"/>
      </w:divBdr>
      <w:divsChild>
        <w:div w:id="523521652">
          <w:marLeft w:val="0"/>
          <w:marRight w:val="0"/>
          <w:marTop w:val="0"/>
          <w:marBottom w:val="0"/>
          <w:divBdr>
            <w:top w:val="none" w:sz="0" w:space="0" w:color="auto"/>
            <w:left w:val="none" w:sz="0" w:space="0" w:color="auto"/>
            <w:bottom w:val="none" w:sz="0" w:space="0" w:color="auto"/>
            <w:right w:val="none" w:sz="0" w:space="0" w:color="auto"/>
          </w:divBdr>
        </w:div>
      </w:divsChild>
    </w:div>
    <w:div w:id="1986855129">
      <w:bodyDiv w:val="1"/>
      <w:marLeft w:val="0"/>
      <w:marRight w:val="0"/>
      <w:marTop w:val="0"/>
      <w:marBottom w:val="0"/>
      <w:divBdr>
        <w:top w:val="none" w:sz="0" w:space="0" w:color="auto"/>
        <w:left w:val="none" w:sz="0" w:space="0" w:color="auto"/>
        <w:bottom w:val="none" w:sz="0" w:space="0" w:color="auto"/>
        <w:right w:val="none" w:sz="0" w:space="0" w:color="auto"/>
      </w:divBdr>
      <w:divsChild>
        <w:div w:id="199263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tawbacountync.gov/county-services/public-health/forms/request-an-appoint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mailupdates.cdc.gov/r/?id=h96722310,1e9b9c89,1e9ca119&amp;e=QUNTVHJhY2tpbmdJRD1VU0NEQ18xMDUyX0RNMTQ2MzE2JkFDU1RyYWNraW5nTGFiZWw9Q09DQSUyME1lc3NhZ2UlMjAtJTIwSGVhbHRoY2FyZSUyMFByb3ZpZGVycyUzQSUyMFN0YXklMjBBbGVydCUyMGZvciUyME1lYXNsZXMlMjBDYXNlcw&amp;s=__3im7HBP2NIeK3T--G0ek9SEcBJ0dzU4jW8uqnmpa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i.dph.ncdhhs.gov/cd/docs/ConfidentialCommunicableDiseaseReport_Part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ortal.catawbacountync.gov/departments/ph/healthpromotion/Shared%20Documents/Design%20Building%20Blocks/Templates/Public%20Health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734861A6DBF42BC46A7FFB1A8862E" ma:contentTypeVersion="1" ma:contentTypeDescription="Create a new document." ma:contentTypeScope="" ma:versionID="a6852f2daa26e93986b48196c9ddec18">
  <xsd:schema xmlns:xsd="http://www.w3.org/2001/XMLSchema" xmlns:xs="http://www.w3.org/2001/XMLSchema" xmlns:p="http://schemas.microsoft.com/office/2006/metadata/properties" xmlns:ns2="e889eaf6-d73c-4c71-b926-de0af18c77f0" targetNamespace="http://schemas.microsoft.com/office/2006/metadata/properties" ma:root="true" ma:fieldsID="5bf235491bd61ff47d74a61591a62c72" ns2:_="">
    <xsd:import namespace="e889eaf6-d73c-4c71-b926-de0af18c77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eaf6-d73c-4c71-b926-de0af18c77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27D47-21F7-46CE-902E-20300502B27F}">
  <ds:schemaRefs>
    <ds:schemaRef ds:uri="http://schemas.microsoft.com/sharepoint/v3/contenttype/forms"/>
  </ds:schemaRefs>
</ds:datastoreItem>
</file>

<file path=customXml/itemProps2.xml><?xml version="1.0" encoding="utf-8"?>
<ds:datastoreItem xmlns:ds="http://schemas.openxmlformats.org/officeDocument/2006/customXml" ds:itemID="{7F529332-4C41-4080-B038-0CAC3D2AE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eaf6-d73c-4c71-b926-de0af18c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88AA1-DF7E-4A9F-92F2-7E54537D4893}">
  <ds:schemaRefs>
    <ds:schemaRef ds:uri="http://schemas.microsoft.com/office/infopath/2007/PartnerControls"/>
    <ds:schemaRef ds:uri="http://purl.org/dc/dcmitype/"/>
    <ds:schemaRef ds:uri="http://schemas.microsoft.com/office/2006/documentManagement/types"/>
    <ds:schemaRef ds:uri="e889eaf6-d73c-4c71-b926-de0af18c77f0"/>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Public%20Health_Letterhead_Template</Template>
  <TotalTime>1</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Killian</dc:creator>
  <cp:keywords/>
  <dc:description/>
  <cp:lastModifiedBy>Dacy Shute</cp:lastModifiedBy>
  <cp:revision>3</cp:revision>
  <dcterms:created xsi:type="dcterms:W3CDTF">2025-06-25T14:53:00Z</dcterms:created>
  <dcterms:modified xsi:type="dcterms:W3CDTF">2025-06-25T14:58:00Z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0x010100007734861A6DBF42BC46A7FFB1A8862E</vt:lpwstr>
  </property>
</Properties>
</file>