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6F12" w14:textId="624E2107" w:rsidR="00032E20" w:rsidRPr="00A1677C" w:rsidRDefault="00032E20" w:rsidP="00032E20">
      <w:pPr>
        <w:spacing w:line="240" w:lineRule="auto"/>
      </w:pPr>
      <w:r>
        <w:t>TO: Healthcare Providers in Catawba County</w:t>
      </w:r>
      <w:r w:rsidR="00A1677C">
        <w:br/>
      </w:r>
      <w:r>
        <w:t>FROM: Catawba County Public Health Director Jennifer McCracken, RN, MPA</w:t>
      </w:r>
      <w:r w:rsidR="00A1677C">
        <w:br/>
      </w:r>
      <w:r>
        <w:t>DA</w:t>
      </w:r>
      <w:r w:rsidRPr="00C73A97">
        <w:t xml:space="preserve">TE: </w:t>
      </w:r>
      <w:r w:rsidR="00C73A97" w:rsidRPr="00C73A97">
        <w:t>February 5</w:t>
      </w:r>
      <w:r w:rsidR="00111C52" w:rsidRPr="00C73A97">
        <w:t>, 2026</w:t>
      </w:r>
    </w:p>
    <w:p w14:paraId="6208C7C4" w14:textId="77777777" w:rsidR="00676F8C" w:rsidRDefault="00676F8C" w:rsidP="00032E20">
      <w:pPr>
        <w:spacing w:line="240" w:lineRule="auto"/>
      </w:pPr>
    </w:p>
    <w:p w14:paraId="50BC6EA7" w14:textId="1CA4C332" w:rsidR="00032E20" w:rsidRPr="006475B2" w:rsidRDefault="00FD7DEC" w:rsidP="00111C52">
      <w:pPr>
        <w:spacing w:line="240" w:lineRule="auto"/>
        <w:jc w:val="center"/>
        <w:rPr>
          <w:b/>
        </w:rPr>
      </w:pPr>
      <w:r>
        <w:rPr>
          <w:b/>
        </w:rPr>
        <w:t xml:space="preserve">MEASLES </w:t>
      </w:r>
      <w:r w:rsidR="00690E4C">
        <w:rPr>
          <w:b/>
        </w:rPr>
        <w:t>CASE</w:t>
      </w:r>
      <w:r w:rsidR="00111C52">
        <w:rPr>
          <w:b/>
        </w:rPr>
        <w:t xml:space="preserve"> IDENTIFIED</w:t>
      </w:r>
      <w:r w:rsidR="00690E4C">
        <w:rPr>
          <w:b/>
        </w:rPr>
        <w:t xml:space="preserve"> IN </w:t>
      </w:r>
      <w:r w:rsidR="00C73A97">
        <w:rPr>
          <w:b/>
        </w:rPr>
        <w:t>LINCOLN</w:t>
      </w:r>
      <w:r w:rsidR="00690E4C">
        <w:rPr>
          <w:b/>
        </w:rPr>
        <w:t xml:space="preserve"> COUNTY</w:t>
      </w:r>
      <w:r w:rsidR="00111C52">
        <w:rPr>
          <w:b/>
        </w:rPr>
        <w:t xml:space="preserve">; </w:t>
      </w:r>
      <w:r w:rsidR="00111C52">
        <w:rPr>
          <w:b/>
        </w:rPr>
        <w:br/>
      </w:r>
      <w:r w:rsidR="00032E20">
        <w:rPr>
          <w:b/>
        </w:rPr>
        <w:t>PROVIDERS SHOULD STAY ALERT FOR</w:t>
      </w:r>
      <w:r w:rsidR="00C73A97">
        <w:rPr>
          <w:b/>
        </w:rPr>
        <w:t xml:space="preserve"> ADDITIONAL CASES LOCALLY</w:t>
      </w:r>
    </w:p>
    <w:p w14:paraId="29502152" w14:textId="77777777" w:rsidR="00C73A97" w:rsidRDefault="00C73A97" w:rsidP="00032E20">
      <w:pPr>
        <w:spacing w:line="240" w:lineRule="auto"/>
      </w:pPr>
      <w:r>
        <w:t>There are now measles cases in a handful of North Carolina counties, including Lincoln County</w:t>
      </w:r>
      <w:r w:rsidR="00690E4C" w:rsidRPr="00111C52">
        <w:t xml:space="preserve">. </w:t>
      </w:r>
      <w:r>
        <w:t>Most cases that have been identified in North Carolina in the past few months have been</w:t>
      </w:r>
      <w:r w:rsidR="00E44E23" w:rsidRPr="00E44E23">
        <w:rPr>
          <w:color w:val="EE0000"/>
        </w:rPr>
        <w:t xml:space="preserve"> </w:t>
      </w:r>
      <w:r w:rsidR="00E44E23">
        <w:t>linked to an ongoing outbreak centered around Spartanburg, SC, that has spread to counties in North Carolina.</w:t>
      </w:r>
    </w:p>
    <w:p w14:paraId="09C47B8B" w14:textId="77777777" w:rsidR="002D6704" w:rsidRDefault="00C73A97" w:rsidP="002D6704">
      <w:r>
        <w:t xml:space="preserve">At this time, we </w:t>
      </w:r>
      <w:r w:rsidRPr="00C73A97">
        <w:rPr>
          <w:u w:val="single"/>
        </w:rPr>
        <w:t>do not</w:t>
      </w:r>
      <w:r>
        <w:t xml:space="preserve"> have any cases reported in Catawba County. </w:t>
      </w:r>
    </w:p>
    <w:p w14:paraId="20A15D50" w14:textId="455FDD95" w:rsidR="002D6704" w:rsidRDefault="002D6704" w:rsidP="002D6704">
      <w:pPr>
        <w:rPr>
          <w:bCs/>
        </w:rPr>
      </w:pPr>
      <w:r>
        <w:t>This</w:t>
      </w:r>
      <w:r>
        <w:rPr>
          <w:color w:val="000000" w:themeColor="text1"/>
        </w:rPr>
        <w:t xml:space="preserve"> is an evolving situation. A</w:t>
      </w:r>
      <w:r w:rsidRPr="00892D4D">
        <w:rPr>
          <w:bCs/>
        </w:rPr>
        <w:t>dditional public health recommendations may be forthcoming if</w:t>
      </w:r>
      <w:r>
        <w:rPr>
          <w:bCs/>
        </w:rPr>
        <w:t xml:space="preserve"> </w:t>
      </w:r>
      <w:r w:rsidRPr="00892D4D">
        <w:rPr>
          <w:bCs/>
        </w:rPr>
        <w:t xml:space="preserve">cases or outbreaks are identified in </w:t>
      </w:r>
      <w:r>
        <w:rPr>
          <w:bCs/>
        </w:rPr>
        <w:t>Catawba County.</w:t>
      </w:r>
    </w:p>
    <w:p w14:paraId="28F61208" w14:textId="77777777" w:rsidR="00681E9A" w:rsidRDefault="00E44E23" w:rsidP="00681E9A">
      <w:pPr>
        <w:spacing w:line="240" w:lineRule="auto"/>
        <w:rPr>
          <w:bCs/>
        </w:rPr>
      </w:pPr>
      <w:r>
        <w:t>Catawba County Public Health is working closely with the North Carolina Department of Health and Human Services (</w:t>
      </w:r>
      <w:r w:rsidR="000F039D">
        <w:t>NC</w:t>
      </w:r>
      <w:r>
        <w:t>DHHS) to</w:t>
      </w:r>
      <w:r w:rsidR="00C73A97">
        <w:t xml:space="preserve"> prevent </w:t>
      </w:r>
      <w:proofErr w:type="gramStart"/>
      <w:r w:rsidR="00C73A97">
        <w:t>spread</w:t>
      </w:r>
      <w:proofErr w:type="gramEnd"/>
      <w:r w:rsidR="00C73A97">
        <w:t xml:space="preserve"> in our county</w:t>
      </w:r>
      <w:r>
        <w:t xml:space="preserve">. </w:t>
      </w:r>
      <w:r w:rsidR="00681E9A" w:rsidRPr="003D0A35">
        <w:rPr>
          <w:bCs/>
        </w:rPr>
        <w:t xml:space="preserve">Prompt recognition, reporting, and investigation of measles </w:t>
      </w:r>
      <w:r w:rsidR="00681E9A">
        <w:rPr>
          <w:bCs/>
        </w:rPr>
        <w:t xml:space="preserve">cases </w:t>
      </w:r>
      <w:r w:rsidR="00681E9A" w:rsidRPr="003D0A35">
        <w:rPr>
          <w:bCs/>
        </w:rPr>
        <w:t xml:space="preserve">are </w:t>
      </w:r>
      <w:r w:rsidR="00681E9A">
        <w:rPr>
          <w:bCs/>
        </w:rPr>
        <w:t xml:space="preserve">all </w:t>
      </w:r>
      <w:r w:rsidR="00681E9A" w:rsidRPr="003D0A35">
        <w:rPr>
          <w:bCs/>
        </w:rPr>
        <w:t xml:space="preserve">important because disease </w:t>
      </w:r>
      <w:r w:rsidR="00681E9A">
        <w:rPr>
          <w:bCs/>
        </w:rPr>
        <w:t xml:space="preserve">transmission </w:t>
      </w:r>
      <w:r w:rsidR="00681E9A" w:rsidRPr="003D0A35">
        <w:rPr>
          <w:bCs/>
        </w:rPr>
        <w:t>can be limited with early case identification and vaccination of susceptible contacts.</w:t>
      </w:r>
      <w:r w:rsidR="00681E9A">
        <w:rPr>
          <w:bCs/>
        </w:rPr>
        <w:t xml:space="preserve"> </w:t>
      </w:r>
    </w:p>
    <w:p w14:paraId="151567EA" w14:textId="3707472A" w:rsidR="00111C52" w:rsidRDefault="00B85C64" w:rsidP="00032E20">
      <w:pPr>
        <w:spacing w:line="240" w:lineRule="auto"/>
        <w:rPr>
          <w:b/>
          <w:bCs/>
        </w:rPr>
      </w:pPr>
      <w:r w:rsidRPr="000F039D">
        <w:rPr>
          <w:b/>
          <w:bCs/>
        </w:rPr>
        <w:t>H</w:t>
      </w:r>
      <w:r w:rsidR="00E44E23" w:rsidRPr="000F039D">
        <w:rPr>
          <w:b/>
          <w:bCs/>
        </w:rPr>
        <w:t>ealthcare p</w:t>
      </w:r>
      <w:r w:rsidR="00DA1E12" w:rsidRPr="000F039D">
        <w:rPr>
          <w:b/>
          <w:bCs/>
        </w:rPr>
        <w:t xml:space="preserve">roviders should remain vigilant </w:t>
      </w:r>
      <w:r w:rsidR="001956BD" w:rsidRPr="000F039D">
        <w:rPr>
          <w:b/>
          <w:bCs/>
        </w:rPr>
        <w:t>in screening patients for measles symptoms</w:t>
      </w:r>
      <w:r w:rsidR="003D0A35" w:rsidRPr="000F039D">
        <w:rPr>
          <w:b/>
          <w:bCs/>
        </w:rPr>
        <w:t xml:space="preserve"> and</w:t>
      </w:r>
      <w:r w:rsidR="00905168" w:rsidRPr="000F039D">
        <w:rPr>
          <w:b/>
          <w:bCs/>
        </w:rPr>
        <w:t xml:space="preserve"> </w:t>
      </w:r>
      <w:r w:rsidR="00905168" w:rsidRPr="000F039D">
        <w:rPr>
          <w:b/>
          <w:bCs/>
          <w:u w:val="single"/>
        </w:rPr>
        <w:t>immediately</w:t>
      </w:r>
      <w:r w:rsidR="00905168" w:rsidRPr="000F039D">
        <w:rPr>
          <w:b/>
          <w:bCs/>
        </w:rPr>
        <w:t xml:space="preserve"> notify</w:t>
      </w:r>
      <w:r w:rsidR="003D0A35" w:rsidRPr="000F039D">
        <w:rPr>
          <w:b/>
          <w:bCs/>
        </w:rPr>
        <w:t xml:space="preserve"> Catawba County </w:t>
      </w:r>
      <w:r w:rsidR="000D4D6D" w:rsidRPr="000F039D">
        <w:rPr>
          <w:b/>
          <w:bCs/>
        </w:rPr>
        <w:t>Public Health</w:t>
      </w:r>
      <w:r w:rsidR="002D6704">
        <w:rPr>
          <w:b/>
          <w:bCs/>
        </w:rPr>
        <w:t>’s Communicable Disease Team</w:t>
      </w:r>
      <w:r w:rsidR="000D4D6D" w:rsidRPr="000F039D">
        <w:rPr>
          <w:b/>
          <w:bCs/>
        </w:rPr>
        <w:t xml:space="preserve"> </w:t>
      </w:r>
      <w:r w:rsidR="00B91BA4" w:rsidRPr="000F039D">
        <w:rPr>
          <w:b/>
          <w:bCs/>
        </w:rPr>
        <w:t>or the state Communicable Disease Branch</w:t>
      </w:r>
      <w:r w:rsidRPr="000F039D">
        <w:rPr>
          <w:b/>
          <w:bCs/>
        </w:rPr>
        <w:t xml:space="preserve"> of any suspected or confirmed cases</w:t>
      </w:r>
      <w:r w:rsidR="003D0A35" w:rsidRPr="000F039D">
        <w:rPr>
          <w:b/>
          <w:bCs/>
        </w:rPr>
        <w:t>.</w:t>
      </w:r>
      <w:r w:rsidR="00B840DE" w:rsidRPr="000F039D">
        <w:rPr>
          <w:b/>
          <w:bCs/>
        </w:rPr>
        <w:t xml:space="preserve"> </w:t>
      </w:r>
    </w:p>
    <w:p w14:paraId="340090F3" w14:textId="162B01C9" w:rsidR="002D6704" w:rsidRPr="002D6704" w:rsidRDefault="002D6704" w:rsidP="002D6704">
      <w:pPr>
        <w:pStyle w:val="ListParagraph"/>
        <w:numPr>
          <w:ilvl w:val="0"/>
          <w:numId w:val="6"/>
        </w:numPr>
      </w:pPr>
      <w:r w:rsidRPr="002D6704">
        <w:t xml:space="preserve">Catawba County Public Health’s </w:t>
      </w:r>
      <w:r>
        <w:t>CD</w:t>
      </w:r>
      <w:r w:rsidRPr="002D6704">
        <w:t xml:space="preserve"> Team: (828) 695-5823 (Mon-Fri</w:t>
      </w:r>
      <w:r>
        <w:t>,</w:t>
      </w:r>
      <w:r w:rsidRPr="002D6704">
        <w:t xml:space="preserve"> 8 AM-5 PM)</w:t>
      </w:r>
    </w:p>
    <w:p w14:paraId="1CB333C1" w14:textId="1EF942CD" w:rsidR="002D6704" w:rsidRDefault="002D6704" w:rsidP="002D6704">
      <w:pPr>
        <w:pStyle w:val="ListParagraph"/>
        <w:numPr>
          <w:ilvl w:val="0"/>
          <w:numId w:val="6"/>
        </w:numPr>
      </w:pPr>
      <w:r w:rsidRPr="002D6704">
        <w:t>NCDHHS Communicable Disease Branch: (919) 733-3419 (available 24/7)</w:t>
      </w:r>
    </w:p>
    <w:p w14:paraId="448D09D6" w14:textId="77777777" w:rsidR="002D6704" w:rsidRDefault="002D6704" w:rsidP="002D6704">
      <w:pPr>
        <w:pStyle w:val="Heading2"/>
      </w:pPr>
    </w:p>
    <w:p w14:paraId="3F1821BE" w14:textId="54EA88C0" w:rsidR="002D6704" w:rsidRPr="002D6704" w:rsidRDefault="002D6704" w:rsidP="002D6704">
      <w:pPr>
        <w:pStyle w:val="Heading2"/>
        <w:rPr>
          <w:caps/>
        </w:rPr>
      </w:pPr>
      <w:r>
        <w:t>Community Vulnerability</w:t>
      </w:r>
    </w:p>
    <w:p w14:paraId="70022A1E" w14:textId="6547C5CC" w:rsidR="00413498" w:rsidRDefault="00413498" w:rsidP="00413498">
      <w:r w:rsidRPr="008612E3">
        <w:t xml:space="preserve">According to the American Academy of Pediatrics, the Community Immunity Threshold </w:t>
      </w:r>
      <w:r>
        <w:t xml:space="preserve">(CIT) </w:t>
      </w:r>
      <w:r w:rsidRPr="008612E3">
        <w:t>for measles is around 92-94%. This means that 92-94% of the population needs to be immune to measles, either through vaccination or previous infection, to limit spread of measles infections in their community.</w:t>
      </w:r>
      <w:r w:rsidRPr="00B80721">
        <w:rPr>
          <w:b/>
          <w:bCs/>
        </w:rPr>
        <w:t xml:space="preserve"> </w:t>
      </w:r>
      <w:proofErr w:type="gramStart"/>
      <w:r w:rsidRPr="00B80721">
        <w:rPr>
          <w:b/>
          <w:bCs/>
        </w:rPr>
        <w:t>The majority of</w:t>
      </w:r>
      <w:proofErr w:type="gramEnd"/>
      <w:r w:rsidRPr="00B80721">
        <w:rPr>
          <w:b/>
          <w:bCs/>
        </w:rPr>
        <w:t xml:space="preserve"> people in our county are already immune; however, our county’s overall vaccination rate in children from </w:t>
      </w:r>
      <w:proofErr w:type="gramStart"/>
      <w:r w:rsidRPr="00B80721">
        <w:rPr>
          <w:b/>
          <w:bCs/>
        </w:rPr>
        <w:t>Kindergarten</w:t>
      </w:r>
      <w:proofErr w:type="gramEnd"/>
      <w:r w:rsidRPr="00B80721">
        <w:rPr>
          <w:b/>
          <w:bCs/>
        </w:rPr>
        <w:t xml:space="preserve"> through 5</w:t>
      </w:r>
      <w:r w:rsidRPr="00B80721">
        <w:rPr>
          <w:b/>
          <w:bCs/>
          <w:vertAlign w:val="superscript"/>
        </w:rPr>
        <w:t>th</w:t>
      </w:r>
      <w:r w:rsidRPr="00B80721">
        <w:rPr>
          <w:b/>
          <w:bCs/>
        </w:rPr>
        <w:t xml:space="preserve"> grade is </w:t>
      </w:r>
      <w:r w:rsidR="00B80721" w:rsidRPr="00B80721">
        <w:rPr>
          <w:b/>
          <w:bCs/>
        </w:rPr>
        <w:t>94</w:t>
      </w:r>
      <w:r w:rsidRPr="00B80721">
        <w:rPr>
          <w:b/>
          <w:bCs/>
        </w:rPr>
        <w:t>%, this is around</w:t>
      </w:r>
      <w:r w:rsidR="00B80721" w:rsidRPr="00B80721">
        <w:rPr>
          <w:b/>
          <w:bCs/>
        </w:rPr>
        <w:t xml:space="preserve"> </w:t>
      </w:r>
      <w:r w:rsidRPr="00B80721">
        <w:rPr>
          <w:b/>
          <w:bCs/>
        </w:rPr>
        <w:t>the CIT, meaning</w:t>
      </w:r>
      <w:r w:rsidR="00B80721" w:rsidRPr="00B80721">
        <w:rPr>
          <w:b/>
          <w:bCs/>
        </w:rPr>
        <w:t xml:space="preserve"> our county has </w:t>
      </w:r>
      <w:r w:rsidRPr="00B80721">
        <w:rPr>
          <w:b/>
          <w:bCs/>
        </w:rPr>
        <w:t>a potentially increased risk of spread</w:t>
      </w:r>
      <w:r w:rsidR="00B80721">
        <w:rPr>
          <w:b/>
          <w:bCs/>
        </w:rPr>
        <w:t>, especially</w:t>
      </w:r>
      <w:r w:rsidR="00B80721" w:rsidRPr="00B80721">
        <w:rPr>
          <w:b/>
          <w:bCs/>
        </w:rPr>
        <w:t xml:space="preserve"> children</w:t>
      </w:r>
      <w:r w:rsidRPr="00B80721">
        <w:rPr>
          <w:b/>
          <w:bCs/>
        </w:rPr>
        <w:t xml:space="preserve">. </w:t>
      </w:r>
    </w:p>
    <w:p w14:paraId="0B91C7F4" w14:textId="00053D55" w:rsidR="00C73A97" w:rsidRDefault="00413498" w:rsidP="00C73A97">
      <w:pPr>
        <w:pStyle w:val="Heading2"/>
      </w:pPr>
      <w:r>
        <w:lastRenderedPageBreak/>
        <w:t xml:space="preserve">Urgent </w:t>
      </w:r>
      <w:r w:rsidR="00C73A97">
        <w:t>Actions Providers Should Take</w:t>
      </w:r>
    </w:p>
    <w:p w14:paraId="447B661E" w14:textId="0FFAC3AE" w:rsidR="00C73A97" w:rsidRDefault="00C73A97" w:rsidP="00032E20">
      <w:pPr>
        <w:spacing w:line="240" w:lineRule="auto"/>
      </w:pPr>
      <w:r>
        <w:t>Health care providers are expected to take the following actions to prepare for potential cases and prevent community spread:</w:t>
      </w:r>
    </w:p>
    <w:p w14:paraId="537E92E8" w14:textId="4BA16F17" w:rsidR="00C73A97" w:rsidRDefault="00C73A97" w:rsidP="003A4AAF">
      <w:pPr>
        <w:pStyle w:val="ListParagraph"/>
        <w:numPr>
          <w:ilvl w:val="0"/>
          <w:numId w:val="3"/>
        </w:numPr>
        <w:spacing w:line="240" w:lineRule="auto"/>
      </w:pPr>
      <w:r>
        <w:t>I</w:t>
      </w:r>
      <w:r w:rsidR="008B71F7">
        <w:t xml:space="preserve">nform all health care </w:t>
      </w:r>
      <w:r w:rsidR="00661854">
        <w:t>personnel</w:t>
      </w:r>
      <w:r w:rsidR="008B71F7">
        <w:t xml:space="preserve"> of this recent development</w:t>
      </w:r>
      <w:r>
        <w:t xml:space="preserve"> so they can be aware of this rapidly evolving and serious situation. </w:t>
      </w:r>
      <w:r w:rsidR="003C79A8">
        <w:t xml:space="preserve">Measles spreads easily and quickly in groups of people where people are not already immune through either vaccination or prior infection. </w:t>
      </w:r>
    </w:p>
    <w:p w14:paraId="29737499" w14:textId="39D6C0EC" w:rsidR="00032E20" w:rsidRDefault="00C73A97" w:rsidP="003A4AAF">
      <w:pPr>
        <w:pStyle w:val="ListParagraph"/>
        <w:numPr>
          <w:ilvl w:val="0"/>
          <w:numId w:val="3"/>
        </w:numPr>
        <w:spacing w:line="240" w:lineRule="auto"/>
      </w:pPr>
      <w:r>
        <w:t>H</w:t>
      </w:r>
      <w:r w:rsidR="003E757A">
        <w:t>ave a plan to prevent exposur</w:t>
      </w:r>
      <w:r w:rsidR="000F039D">
        <w:t>es in your facility</w:t>
      </w:r>
      <w:r w:rsidR="003E757A">
        <w:t>, including patient isolation</w:t>
      </w:r>
      <w:r w:rsidR="00E53731">
        <w:t xml:space="preserve"> and offering triaging and testing outside of the facility. </w:t>
      </w:r>
    </w:p>
    <w:p w14:paraId="26D20DD6" w14:textId="16CA41C9" w:rsidR="00413498" w:rsidRDefault="00413498" w:rsidP="00413498">
      <w:pPr>
        <w:pStyle w:val="ListParagraph"/>
        <w:numPr>
          <w:ilvl w:val="0"/>
          <w:numId w:val="3"/>
        </w:numPr>
        <w:spacing w:line="240" w:lineRule="auto"/>
      </w:pPr>
      <w:r>
        <w:t xml:space="preserve">Conduct testing for </w:t>
      </w:r>
      <w:r w:rsidR="008E57E1">
        <w:t xml:space="preserve">your </w:t>
      </w:r>
      <w:r>
        <w:t xml:space="preserve">patients </w:t>
      </w:r>
      <w:r w:rsidR="008E57E1">
        <w:t xml:space="preserve">if </w:t>
      </w:r>
      <w:r>
        <w:t xml:space="preserve">you suspect </w:t>
      </w:r>
      <w:r w:rsidR="008E57E1">
        <w:t>they have</w:t>
      </w:r>
      <w:r>
        <w:t xml:space="preserve"> measles. </w:t>
      </w:r>
      <w:r w:rsidR="000E1837">
        <w:t xml:space="preserve">Arrange for testing through your normal laboratory. </w:t>
      </w:r>
      <w:r>
        <w:t>Our Communicable Disease Team</w:t>
      </w:r>
      <w:r w:rsidR="008E57E1">
        <w:t xml:space="preserve"> and the state Epi on Call can</w:t>
      </w:r>
      <w:r>
        <w:t xml:space="preserve"> provide guidance on testing criteria and protocols. </w:t>
      </w:r>
    </w:p>
    <w:p w14:paraId="63699E23" w14:textId="02CC0CA0" w:rsidR="00413498" w:rsidRDefault="00413498" w:rsidP="00413498">
      <w:pPr>
        <w:pStyle w:val="ListParagraph"/>
        <w:numPr>
          <w:ilvl w:val="0"/>
          <w:numId w:val="3"/>
        </w:numPr>
        <w:spacing w:line="240" w:lineRule="auto"/>
      </w:pPr>
      <w:r>
        <w:t xml:space="preserve">The public is being instructed to call ahead before arriving at </w:t>
      </w:r>
      <w:proofErr w:type="gramStart"/>
      <w:r>
        <w:t>health care</w:t>
      </w:r>
      <w:proofErr w:type="gramEnd"/>
      <w:r>
        <w:t xml:space="preserve"> facilities. Please make sure to emphasize this with your patients to prevent unnecessary exposures in waiting rooms, hallways and other shared areas, and avoid </w:t>
      </w:r>
      <w:proofErr w:type="gramStart"/>
      <w:r>
        <w:t>exposures</w:t>
      </w:r>
      <w:proofErr w:type="gramEnd"/>
      <w:r>
        <w:t xml:space="preserve"> to your staff. </w:t>
      </w:r>
    </w:p>
    <w:p w14:paraId="669D330B" w14:textId="5A7B3B78" w:rsidR="00413498" w:rsidRDefault="00413498" w:rsidP="003A4AAF">
      <w:pPr>
        <w:pStyle w:val="ListParagraph"/>
        <w:numPr>
          <w:ilvl w:val="0"/>
          <w:numId w:val="3"/>
        </w:numPr>
        <w:spacing w:line="240" w:lineRule="auto"/>
      </w:pPr>
      <w:r>
        <w:t xml:space="preserve">Proactively identify staff members who may not have immunity to measles. These staff members should not be involved in the care of measles patients. If staff members are not immune and have been exposed to measles, they could have to quarantine for up to 21 days, which could present your facility with staffing challenges for an extended </w:t>
      </w:r>
      <w:proofErr w:type="gramStart"/>
      <w:r>
        <w:t>period of time</w:t>
      </w:r>
      <w:proofErr w:type="gramEnd"/>
      <w:r>
        <w:t xml:space="preserve">. Staff members who are vaccinated or who have proof of immunity are not required to quarantine after an exposure. </w:t>
      </w:r>
    </w:p>
    <w:p w14:paraId="05AFA06B" w14:textId="782E6534" w:rsidR="00413498" w:rsidRDefault="00413498" w:rsidP="00413498">
      <w:pPr>
        <w:pStyle w:val="ListParagraph"/>
        <w:numPr>
          <w:ilvl w:val="0"/>
          <w:numId w:val="3"/>
        </w:numPr>
      </w:pPr>
      <w:r>
        <w:t xml:space="preserve">Make a staffing plan to prepare for the potential of isolation and quarantine of staff.  Additionally, staff with children who do not have immunity and are exposed to measles may need to stay home to care for their family, as these children will not be able to attend school or a childcare facility during quarantine and isolation periods. </w:t>
      </w:r>
    </w:p>
    <w:p w14:paraId="58A95A06" w14:textId="072A1855" w:rsidR="00C73A97" w:rsidRDefault="00C73A97" w:rsidP="003A4AAF">
      <w:pPr>
        <w:pStyle w:val="ListParagraph"/>
        <w:numPr>
          <w:ilvl w:val="0"/>
          <w:numId w:val="3"/>
        </w:numPr>
        <w:spacing w:line="240" w:lineRule="auto"/>
      </w:pPr>
      <w:r>
        <w:t>Provide vaccine records for your patients</w:t>
      </w:r>
      <w:r w:rsidR="003C79A8">
        <w:t xml:space="preserve"> if they are available</w:t>
      </w:r>
      <w:r>
        <w:t>. Check the North Carolina Immunizations Registry (</w:t>
      </w:r>
      <w:proofErr w:type="spellStart"/>
      <w:r>
        <w:t>NCIR</w:t>
      </w:r>
      <w:proofErr w:type="spellEnd"/>
      <w:r>
        <w:t>)</w:t>
      </w:r>
      <w:r w:rsidR="003C79A8">
        <w:t xml:space="preserve">, as many records are </w:t>
      </w:r>
      <w:r w:rsidR="007E69AE">
        <w:t>located</w:t>
      </w:r>
      <w:r w:rsidR="003C79A8">
        <w:t xml:space="preserve"> there. NCDHHS has additional information on locating old vaccine records at </w:t>
      </w:r>
      <w:hyperlink r:id="rId10" w:history="1">
        <w:r w:rsidR="003C79A8" w:rsidRPr="003A3BEC">
          <w:rPr>
            <w:rStyle w:val="Hyperlink"/>
          </w:rPr>
          <w:t>https://www.dph.ncdhhs.gov/programs/epidemiology/immunization/you-and-your-family/your-immunization-record/tips-to-locate</w:t>
        </w:r>
      </w:hyperlink>
      <w:r w:rsidR="003C79A8">
        <w:t xml:space="preserve">. </w:t>
      </w:r>
    </w:p>
    <w:p w14:paraId="3B0BB67C" w14:textId="4629D258" w:rsidR="003C79A8" w:rsidRPr="008E57E1" w:rsidRDefault="003C79A8" w:rsidP="003A4AAF">
      <w:pPr>
        <w:pStyle w:val="ListParagraph"/>
        <w:numPr>
          <w:ilvl w:val="0"/>
          <w:numId w:val="3"/>
        </w:numPr>
        <w:spacing w:line="240" w:lineRule="auto"/>
      </w:pPr>
      <w:r>
        <w:t>Proactively contact parents of children who have not received the Measles, Mumps and Rubella (MM</w:t>
      </w:r>
      <w:r w:rsidRPr="008E57E1">
        <w:t xml:space="preserve">R) vaccination. Vaccination is the best way to prevent community spread of measles. </w:t>
      </w:r>
    </w:p>
    <w:p w14:paraId="08948268" w14:textId="67435D98" w:rsidR="007E69AE" w:rsidRPr="008E57E1" w:rsidRDefault="00681E9A" w:rsidP="003A4AAF">
      <w:pPr>
        <w:pStyle w:val="ListParagraph"/>
        <w:numPr>
          <w:ilvl w:val="0"/>
          <w:numId w:val="3"/>
        </w:numPr>
        <w:spacing w:line="240" w:lineRule="auto"/>
      </w:pPr>
      <w:r w:rsidRPr="008E57E1">
        <w:t>When possible, e</w:t>
      </w:r>
      <w:r w:rsidR="007E69AE" w:rsidRPr="008E57E1">
        <w:t xml:space="preserve">nter new vaccinations in </w:t>
      </w:r>
      <w:proofErr w:type="spellStart"/>
      <w:r w:rsidRPr="008E57E1">
        <w:t>NCIR</w:t>
      </w:r>
      <w:proofErr w:type="spellEnd"/>
      <w:r w:rsidRPr="008E57E1">
        <w:t xml:space="preserve"> </w:t>
      </w:r>
      <w:r w:rsidR="007E69AE" w:rsidRPr="008E57E1">
        <w:t xml:space="preserve">when they are administered. </w:t>
      </w:r>
    </w:p>
    <w:p w14:paraId="69C33B04" w14:textId="71D066FA" w:rsidR="00B80721" w:rsidRPr="008E57E1" w:rsidRDefault="00B80721" w:rsidP="003A4AAF">
      <w:pPr>
        <w:pStyle w:val="ListParagraph"/>
        <w:numPr>
          <w:ilvl w:val="0"/>
          <w:numId w:val="3"/>
        </w:numPr>
        <w:spacing w:line="240" w:lineRule="auto"/>
      </w:pPr>
      <w:r w:rsidRPr="008E57E1">
        <w:t xml:space="preserve">The first dose of MMR is traditionally given to babies </w:t>
      </w:r>
      <w:r w:rsidR="008E57E1" w:rsidRPr="008E57E1">
        <w:t>at 12-15</w:t>
      </w:r>
      <w:r w:rsidRPr="008E57E1">
        <w:t xml:space="preserve"> months of </w:t>
      </w:r>
      <w:proofErr w:type="gramStart"/>
      <w:r w:rsidRPr="008E57E1">
        <w:t>age</w:t>
      </w:r>
      <w:proofErr w:type="gramEnd"/>
      <w:r w:rsidR="008E57E1" w:rsidRPr="008E57E1">
        <w:t xml:space="preserve"> and a second dose is given at 4-6 years old</w:t>
      </w:r>
      <w:r w:rsidRPr="008E57E1">
        <w:t>. In some instances,</w:t>
      </w:r>
      <w:r w:rsidR="008E57E1" w:rsidRPr="008E57E1">
        <w:t xml:space="preserve"> like </w:t>
      </w:r>
      <w:proofErr w:type="gramStart"/>
      <w:r w:rsidR="008E57E1" w:rsidRPr="008E57E1">
        <w:t>travel</w:t>
      </w:r>
      <w:proofErr w:type="gramEnd"/>
      <w:r w:rsidR="008E57E1" w:rsidRPr="008E57E1">
        <w:t xml:space="preserve"> to areas with active measles outbreaks,</w:t>
      </w:r>
      <w:r w:rsidRPr="008E57E1">
        <w:t xml:space="preserve"> giving a dose as early as 6 months is appropriate. Because younger babies should not be administered the vaccine, </w:t>
      </w:r>
      <w:r w:rsidR="008E57E1" w:rsidRPr="008E57E1">
        <w:t>they are</w:t>
      </w:r>
      <w:r w:rsidRPr="008E57E1">
        <w:t xml:space="preserve"> our most vulnerable group.</w:t>
      </w:r>
    </w:p>
    <w:p w14:paraId="7138CD89" w14:textId="77777777" w:rsidR="00413498" w:rsidRPr="00413498" w:rsidRDefault="00413498" w:rsidP="00413498">
      <w:pPr>
        <w:pStyle w:val="ListParagraph"/>
        <w:numPr>
          <w:ilvl w:val="0"/>
          <w:numId w:val="3"/>
        </w:numPr>
        <w:spacing w:line="240" w:lineRule="auto"/>
        <w:rPr>
          <w:bCs/>
        </w:rPr>
      </w:pPr>
      <w:r w:rsidRPr="00413498">
        <w:rPr>
          <w:bCs/>
        </w:rPr>
        <w:t>For questions about vaccinations or for patients who are uninsured or whose medical plans do not cover vaccinations, please contact the Public Health Immunizations Clinic at (828) 695-5881.</w:t>
      </w:r>
    </w:p>
    <w:p w14:paraId="50136627" w14:textId="77777777" w:rsidR="002D6704" w:rsidRDefault="002D6704" w:rsidP="002D6704">
      <w:pPr>
        <w:pStyle w:val="Heading2"/>
      </w:pPr>
    </w:p>
    <w:p w14:paraId="466D3525" w14:textId="71BF39A5" w:rsidR="002D6704" w:rsidRDefault="002D6704" w:rsidP="002D6704">
      <w:pPr>
        <w:pStyle w:val="Heading2"/>
      </w:pPr>
      <w:r>
        <w:t>Reporting</w:t>
      </w:r>
    </w:p>
    <w:p w14:paraId="669C9CFD" w14:textId="4FDD7623" w:rsidR="002D6704" w:rsidRPr="002D6704" w:rsidRDefault="002D6704" w:rsidP="002D6704">
      <w:pPr>
        <w:spacing w:line="240" w:lineRule="auto"/>
        <w:rPr>
          <w:b/>
          <w:bCs/>
        </w:rPr>
      </w:pPr>
      <w:r w:rsidRPr="002D6704">
        <w:rPr>
          <w:b/>
          <w:bCs/>
        </w:rPr>
        <w:t xml:space="preserve">Health care providers are required by North Carolina law to report </w:t>
      </w:r>
      <w:r w:rsidRPr="002D6704">
        <w:rPr>
          <w:b/>
          <w:bCs/>
          <w:u w:val="single"/>
        </w:rPr>
        <w:t>both suspected/probable and laboratory-confirmed</w:t>
      </w:r>
      <w:r w:rsidRPr="002D6704">
        <w:rPr>
          <w:b/>
          <w:bCs/>
        </w:rPr>
        <w:t xml:space="preserve"> cases of measles </w:t>
      </w:r>
      <w:r w:rsidRPr="002D6704">
        <w:rPr>
          <w:b/>
          <w:bCs/>
          <w:u w:val="single"/>
        </w:rPr>
        <w:t>within 24 hours</w:t>
      </w:r>
      <w:r w:rsidRPr="002D6704">
        <w:rPr>
          <w:b/>
          <w:bCs/>
        </w:rPr>
        <w:t xml:space="preserve"> to the health department. </w:t>
      </w:r>
      <w:r w:rsidRPr="002D6704">
        <w:t>Report to:</w:t>
      </w:r>
    </w:p>
    <w:p w14:paraId="1B32F8F7" w14:textId="77777777" w:rsidR="002D6704" w:rsidRDefault="002D6704" w:rsidP="002D6704">
      <w:pPr>
        <w:pStyle w:val="ListParagraph"/>
        <w:numPr>
          <w:ilvl w:val="0"/>
          <w:numId w:val="2"/>
        </w:numPr>
      </w:pPr>
      <w:r w:rsidRPr="00ED4B83">
        <w:t>Catawba County Public Health</w:t>
      </w:r>
      <w:r>
        <w:t>’s</w:t>
      </w:r>
      <w:r w:rsidRPr="00ED4B83">
        <w:t xml:space="preserve"> Communicable Disease Team</w:t>
      </w:r>
      <w:r>
        <w:t xml:space="preserve">: Call </w:t>
      </w:r>
      <w:r w:rsidRPr="00ED4B83">
        <w:t>(828) 695-</w:t>
      </w:r>
      <w:r w:rsidRPr="00A1677C">
        <w:t>5823</w:t>
      </w:r>
      <w:r>
        <w:t xml:space="preserve"> (available 8 AM to 5 PM) or fax </w:t>
      </w:r>
      <w:r w:rsidRPr="00ED4B83">
        <w:t>(828) 695-5103</w:t>
      </w:r>
    </w:p>
    <w:p w14:paraId="0D85E1DE" w14:textId="77777777" w:rsidR="002D6704" w:rsidRPr="00ED4B83" w:rsidRDefault="002D6704" w:rsidP="002D6704">
      <w:pPr>
        <w:pStyle w:val="ListParagraph"/>
        <w:numPr>
          <w:ilvl w:val="0"/>
          <w:numId w:val="2"/>
        </w:numPr>
      </w:pPr>
      <w:r>
        <w:t xml:space="preserve">North Carolina’s </w:t>
      </w:r>
      <w:r w:rsidRPr="00E93B10">
        <w:t>Communicable Disease Branch</w:t>
      </w:r>
      <w:r>
        <w:t xml:space="preserve">: Call </w:t>
      </w:r>
      <w:r w:rsidRPr="00E93B10">
        <w:t>(919) 733-3419</w:t>
      </w:r>
      <w:r>
        <w:t xml:space="preserve"> (</w:t>
      </w:r>
      <w:r w:rsidRPr="00E93B10">
        <w:t>available 24/7)</w:t>
      </w:r>
      <w:r>
        <w:t xml:space="preserve"> </w:t>
      </w:r>
      <w:r w:rsidRPr="00E93B10">
        <w:t xml:space="preserve"> </w:t>
      </w:r>
    </w:p>
    <w:p w14:paraId="6436B5B9" w14:textId="77777777" w:rsidR="002D6704" w:rsidRPr="00681E9A" w:rsidRDefault="002D6704" w:rsidP="002D6704">
      <w:pPr>
        <w:rPr>
          <w:b/>
          <w:bCs/>
        </w:rPr>
      </w:pPr>
      <w:r w:rsidRPr="000F58B4">
        <w:rPr>
          <w:b/>
          <w:bCs/>
        </w:rPr>
        <w:lastRenderedPageBreak/>
        <w:t xml:space="preserve">North Carolina’s Communicable Disease Reporting Form: </w:t>
      </w:r>
      <w:hyperlink r:id="rId11" w:history="1">
        <w:r w:rsidRPr="002D6704">
          <w:rPr>
            <w:rStyle w:val="Hyperlink"/>
          </w:rPr>
          <w:t>https://www.dph.ncdhhs.gov/epidemiology/communicable-disease/confidential-communicable-disease-report-fillable/open</w:t>
        </w:r>
      </w:hyperlink>
      <w:r w:rsidRPr="002D6704">
        <w:t xml:space="preserve"> </w:t>
      </w:r>
    </w:p>
    <w:p w14:paraId="63D27BF8" w14:textId="77777777" w:rsidR="00681E9A" w:rsidRDefault="00681E9A" w:rsidP="00681E9A">
      <w:pPr>
        <w:rPr>
          <w:b/>
          <w:bCs/>
        </w:rPr>
      </w:pPr>
    </w:p>
    <w:p w14:paraId="30DF0176" w14:textId="1DFC1BF5" w:rsidR="00681E9A" w:rsidRDefault="00681E9A" w:rsidP="00681E9A">
      <w:r w:rsidRPr="00B85C64">
        <w:t>NC</w:t>
      </w:r>
      <w:r>
        <w:t xml:space="preserve">DHHS </w:t>
      </w:r>
      <w:r w:rsidRPr="002B5696">
        <w:t>Measles (Rubeola) Resources for Health Care Providers</w:t>
      </w:r>
      <w:r w:rsidR="002D6704">
        <w:t xml:space="preserve">: </w:t>
      </w:r>
      <w:r>
        <w:t xml:space="preserve"> </w:t>
      </w:r>
      <w:hyperlink r:id="rId12" w:history="1">
        <w:r w:rsidR="002B5696" w:rsidRPr="0016727B">
          <w:rPr>
            <w:rStyle w:val="Hyperlink"/>
          </w:rPr>
          <w:t>https://www.dph.ncdhhs.gov/programs/epidemiology/communicable-disease/measles/providers</w:t>
        </w:r>
      </w:hyperlink>
      <w:r>
        <w:t xml:space="preserve">. This includes specific information on testing, treatment and protecting your staff and others in your facility. </w:t>
      </w:r>
    </w:p>
    <w:p w14:paraId="4A31A792" w14:textId="77777777" w:rsidR="008E57E1" w:rsidRDefault="008E57E1" w:rsidP="00681E9A">
      <w:pPr>
        <w:rPr>
          <w:bCs/>
        </w:rPr>
      </w:pPr>
    </w:p>
    <w:p w14:paraId="63E06DF6" w14:textId="716CC3B4" w:rsidR="00681E9A" w:rsidRDefault="00681E9A" w:rsidP="00681E9A">
      <w:pPr>
        <w:rPr>
          <w:bCs/>
        </w:rPr>
      </w:pPr>
      <w:r w:rsidRPr="002D6704">
        <w:rPr>
          <w:b/>
        </w:rPr>
        <w:t>NCDHHS</w:t>
      </w:r>
      <w:r w:rsidR="002D6704" w:rsidRPr="002D6704">
        <w:rPr>
          <w:b/>
        </w:rPr>
        <w:t xml:space="preserve"> </w:t>
      </w:r>
      <w:r w:rsidRPr="002D6704">
        <w:rPr>
          <w:b/>
        </w:rPr>
        <w:t>measles case data</w:t>
      </w:r>
      <w:r w:rsidR="002D6704" w:rsidRPr="002D6704">
        <w:rPr>
          <w:b/>
        </w:rPr>
        <w:t>:</w:t>
      </w:r>
      <w:r w:rsidR="002D6704">
        <w:rPr>
          <w:bCs/>
        </w:rPr>
        <w:t xml:space="preserve"> </w:t>
      </w:r>
      <w:hyperlink r:id="rId13" w:history="1">
        <w:r w:rsidRPr="009733F7">
          <w:rPr>
            <w:rStyle w:val="Hyperlink"/>
            <w:bCs/>
          </w:rPr>
          <w:t>https://www.dph.ncdhhs.gov/programs/epidemiology/communicable-disease/infectious-respiratory-diseases/measles-rubeola/measles-cases-and-outbreaks-north-carolina</w:t>
        </w:r>
      </w:hyperlink>
      <w:r>
        <w:rPr>
          <w:bCs/>
        </w:rPr>
        <w:t>.</w:t>
      </w:r>
    </w:p>
    <w:sectPr w:rsidR="00681E9A" w:rsidSect="00ED708D">
      <w:headerReference w:type="first" r:id="rId14"/>
      <w:footerReference w:type="first" r:id="rId15"/>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1D1B" w14:textId="77777777" w:rsidR="00992778" w:rsidRDefault="00992778" w:rsidP="00ED708D">
      <w:pPr>
        <w:spacing w:after="0" w:line="240" w:lineRule="auto"/>
      </w:pPr>
      <w:r>
        <w:separator/>
      </w:r>
    </w:p>
  </w:endnote>
  <w:endnote w:type="continuationSeparator" w:id="0">
    <w:p w14:paraId="185769AD" w14:textId="77777777" w:rsidR="00992778" w:rsidRDefault="00992778" w:rsidP="00ED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121" w14:textId="77777777" w:rsidR="00755BBA" w:rsidRDefault="00755BBA" w:rsidP="00755BBA">
    <w:pPr>
      <w:pStyle w:val="Footer"/>
      <w:spacing w:before="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5086" w14:textId="77777777" w:rsidR="00992778" w:rsidRDefault="00992778" w:rsidP="00ED708D">
      <w:pPr>
        <w:spacing w:after="0" w:line="240" w:lineRule="auto"/>
      </w:pPr>
      <w:r>
        <w:separator/>
      </w:r>
    </w:p>
  </w:footnote>
  <w:footnote w:type="continuationSeparator" w:id="0">
    <w:p w14:paraId="4616F263" w14:textId="77777777" w:rsidR="00992778" w:rsidRDefault="00992778" w:rsidP="00ED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932" w14:textId="77777777" w:rsidR="00ED708D" w:rsidRDefault="001C550D" w:rsidP="00755BBA">
    <w:pPr>
      <w:pStyle w:val="Header"/>
      <w:spacing w:after="2200"/>
    </w:pPr>
    <w:r>
      <w:rPr>
        <w:noProof/>
      </w:rPr>
      <w:drawing>
        <wp:anchor distT="0" distB="0" distL="114300" distR="114300" simplePos="0" relativeHeight="251658240" behindDoc="1" locked="0" layoutInCell="1" allowOverlap="1" wp14:anchorId="08E767CC" wp14:editId="3085A0A0">
          <wp:simplePos x="0" y="0"/>
          <wp:positionH relativeFrom="page">
            <wp:align>right</wp:align>
          </wp:positionH>
          <wp:positionV relativeFrom="paragraph">
            <wp:posOffset>-457200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 Health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545"/>
    <w:multiLevelType w:val="hybridMultilevel"/>
    <w:tmpl w:val="CB46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47E"/>
    <w:multiLevelType w:val="hybridMultilevel"/>
    <w:tmpl w:val="A0F69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72084"/>
    <w:multiLevelType w:val="hybridMultilevel"/>
    <w:tmpl w:val="D0A6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3D91"/>
    <w:multiLevelType w:val="hybridMultilevel"/>
    <w:tmpl w:val="2C0E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453D1"/>
    <w:multiLevelType w:val="hybridMultilevel"/>
    <w:tmpl w:val="326A7DDC"/>
    <w:lvl w:ilvl="0" w:tplc="4378E3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14C84"/>
    <w:multiLevelType w:val="multilevel"/>
    <w:tmpl w:val="4D7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188744">
    <w:abstractNumId w:val="3"/>
  </w:num>
  <w:num w:numId="2" w16cid:durableId="1210146362">
    <w:abstractNumId w:val="1"/>
  </w:num>
  <w:num w:numId="3" w16cid:durableId="1125392509">
    <w:abstractNumId w:val="2"/>
  </w:num>
  <w:num w:numId="4" w16cid:durableId="590286275">
    <w:abstractNumId w:val="4"/>
  </w:num>
  <w:num w:numId="5" w16cid:durableId="1320887409">
    <w:abstractNumId w:val="5"/>
  </w:num>
  <w:num w:numId="6" w16cid:durableId="51585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20"/>
    <w:rsid w:val="00032E20"/>
    <w:rsid w:val="0003446F"/>
    <w:rsid w:val="00047B8A"/>
    <w:rsid w:val="000744AB"/>
    <w:rsid w:val="000942ED"/>
    <w:rsid w:val="00097CE8"/>
    <w:rsid w:val="000A4AEA"/>
    <w:rsid w:val="000B4B85"/>
    <w:rsid w:val="000D439C"/>
    <w:rsid w:val="000D4D6D"/>
    <w:rsid w:val="000E1837"/>
    <w:rsid w:val="000F039D"/>
    <w:rsid w:val="000F1A34"/>
    <w:rsid w:val="00104C3B"/>
    <w:rsid w:val="00111C52"/>
    <w:rsid w:val="0012356D"/>
    <w:rsid w:val="00131BA2"/>
    <w:rsid w:val="0017374A"/>
    <w:rsid w:val="001768D4"/>
    <w:rsid w:val="00182BAA"/>
    <w:rsid w:val="00182FE0"/>
    <w:rsid w:val="001956BD"/>
    <w:rsid w:val="001C550D"/>
    <w:rsid w:val="001E1E93"/>
    <w:rsid w:val="00226685"/>
    <w:rsid w:val="00234E68"/>
    <w:rsid w:val="002606F8"/>
    <w:rsid w:val="00277D56"/>
    <w:rsid w:val="00297583"/>
    <w:rsid w:val="002A0267"/>
    <w:rsid w:val="002B5696"/>
    <w:rsid w:val="002D6704"/>
    <w:rsid w:val="00306F94"/>
    <w:rsid w:val="003278C7"/>
    <w:rsid w:val="003841AB"/>
    <w:rsid w:val="00394BF9"/>
    <w:rsid w:val="003C3A08"/>
    <w:rsid w:val="003C79A8"/>
    <w:rsid w:val="003D0A35"/>
    <w:rsid w:val="003E0FAE"/>
    <w:rsid w:val="003E757A"/>
    <w:rsid w:val="003F6B07"/>
    <w:rsid w:val="00406553"/>
    <w:rsid w:val="00411749"/>
    <w:rsid w:val="00413498"/>
    <w:rsid w:val="00440D57"/>
    <w:rsid w:val="004F0003"/>
    <w:rsid w:val="00504D4A"/>
    <w:rsid w:val="0052054D"/>
    <w:rsid w:val="00543691"/>
    <w:rsid w:val="00555D81"/>
    <w:rsid w:val="00581E2F"/>
    <w:rsid w:val="005F0D50"/>
    <w:rsid w:val="005F57B4"/>
    <w:rsid w:val="006102F0"/>
    <w:rsid w:val="00645729"/>
    <w:rsid w:val="00661854"/>
    <w:rsid w:val="00667F72"/>
    <w:rsid w:val="00676F8C"/>
    <w:rsid w:val="00677286"/>
    <w:rsid w:val="006818C2"/>
    <w:rsid w:val="00681E9A"/>
    <w:rsid w:val="00690E4C"/>
    <w:rsid w:val="00692618"/>
    <w:rsid w:val="006E673B"/>
    <w:rsid w:val="006F56C1"/>
    <w:rsid w:val="00707F50"/>
    <w:rsid w:val="007102AB"/>
    <w:rsid w:val="00723552"/>
    <w:rsid w:val="00724139"/>
    <w:rsid w:val="00733CD0"/>
    <w:rsid w:val="00755BBA"/>
    <w:rsid w:val="00797A26"/>
    <w:rsid w:val="007D52BF"/>
    <w:rsid w:val="007E69AE"/>
    <w:rsid w:val="007E7A13"/>
    <w:rsid w:val="0080620F"/>
    <w:rsid w:val="0083724D"/>
    <w:rsid w:val="00867F3B"/>
    <w:rsid w:val="008A04F3"/>
    <w:rsid w:val="008A4D71"/>
    <w:rsid w:val="008A6D3B"/>
    <w:rsid w:val="008B71F7"/>
    <w:rsid w:val="008C1B81"/>
    <w:rsid w:val="008E57E1"/>
    <w:rsid w:val="00905168"/>
    <w:rsid w:val="00916D3A"/>
    <w:rsid w:val="009317CA"/>
    <w:rsid w:val="00962FB6"/>
    <w:rsid w:val="009632A3"/>
    <w:rsid w:val="00992778"/>
    <w:rsid w:val="009B0C71"/>
    <w:rsid w:val="00A029FA"/>
    <w:rsid w:val="00A0544C"/>
    <w:rsid w:val="00A1677C"/>
    <w:rsid w:val="00A33AD6"/>
    <w:rsid w:val="00A34FF7"/>
    <w:rsid w:val="00A41977"/>
    <w:rsid w:val="00A517B5"/>
    <w:rsid w:val="00A64310"/>
    <w:rsid w:val="00A71867"/>
    <w:rsid w:val="00A73E96"/>
    <w:rsid w:val="00A94E88"/>
    <w:rsid w:val="00AC348A"/>
    <w:rsid w:val="00AD104A"/>
    <w:rsid w:val="00AE58C2"/>
    <w:rsid w:val="00AF1288"/>
    <w:rsid w:val="00B35C69"/>
    <w:rsid w:val="00B7100F"/>
    <w:rsid w:val="00B80721"/>
    <w:rsid w:val="00B840DE"/>
    <w:rsid w:val="00B85C64"/>
    <w:rsid w:val="00B91BA4"/>
    <w:rsid w:val="00B92FCF"/>
    <w:rsid w:val="00B9329B"/>
    <w:rsid w:val="00BD452A"/>
    <w:rsid w:val="00BE18A8"/>
    <w:rsid w:val="00BE1C50"/>
    <w:rsid w:val="00BF32DE"/>
    <w:rsid w:val="00C166DE"/>
    <w:rsid w:val="00C16AA8"/>
    <w:rsid w:val="00C73A97"/>
    <w:rsid w:val="00C84BBD"/>
    <w:rsid w:val="00CB38B1"/>
    <w:rsid w:val="00D1691C"/>
    <w:rsid w:val="00D56A00"/>
    <w:rsid w:val="00DA1E12"/>
    <w:rsid w:val="00E05513"/>
    <w:rsid w:val="00E44E23"/>
    <w:rsid w:val="00E53731"/>
    <w:rsid w:val="00E6404D"/>
    <w:rsid w:val="00E806EB"/>
    <w:rsid w:val="00E87CC3"/>
    <w:rsid w:val="00E906BA"/>
    <w:rsid w:val="00EC0953"/>
    <w:rsid w:val="00EC189F"/>
    <w:rsid w:val="00ED58B4"/>
    <w:rsid w:val="00ED6B9F"/>
    <w:rsid w:val="00ED708D"/>
    <w:rsid w:val="00F023BA"/>
    <w:rsid w:val="00F7377D"/>
    <w:rsid w:val="00F90955"/>
    <w:rsid w:val="00FA4F16"/>
    <w:rsid w:val="00FB466E"/>
    <w:rsid w:val="00FC246C"/>
    <w:rsid w:val="00FD7DE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D5F0"/>
  <w15:chartTrackingRefBased/>
  <w15:docId w15:val="{BD676F41-E510-4311-BBE4-E1438E6A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20"/>
  </w:style>
  <w:style w:type="paragraph" w:styleId="Heading1">
    <w:name w:val="heading 1"/>
    <w:basedOn w:val="Normal"/>
    <w:next w:val="Normal"/>
    <w:link w:val="Heading1Char"/>
    <w:uiPriority w:val="9"/>
    <w:qFormat/>
    <w:rsid w:val="000744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2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E57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8D"/>
  </w:style>
  <w:style w:type="paragraph" w:styleId="Footer">
    <w:name w:val="footer"/>
    <w:basedOn w:val="Normal"/>
    <w:link w:val="FooterChar"/>
    <w:uiPriority w:val="99"/>
    <w:unhideWhenUsed/>
    <w:rsid w:val="00ED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8D"/>
  </w:style>
  <w:style w:type="paragraph" w:styleId="NormalWeb">
    <w:name w:val="Normal (Web)"/>
    <w:basedOn w:val="Normal"/>
    <w:uiPriority w:val="99"/>
    <w:semiHidden/>
    <w:unhideWhenUsed/>
    <w:rsid w:val="00755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32E2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32E20"/>
    <w:rPr>
      <w:color w:val="0000FF"/>
      <w:u w:val="single"/>
    </w:rPr>
  </w:style>
  <w:style w:type="paragraph" w:styleId="ListParagraph">
    <w:name w:val="List Paragraph"/>
    <w:basedOn w:val="Normal"/>
    <w:uiPriority w:val="34"/>
    <w:qFormat/>
    <w:rsid w:val="00032E20"/>
    <w:pPr>
      <w:ind w:left="720"/>
      <w:contextualSpacing/>
    </w:pPr>
  </w:style>
  <w:style w:type="character" w:styleId="FollowedHyperlink">
    <w:name w:val="FollowedHyperlink"/>
    <w:basedOn w:val="DefaultParagraphFont"/>
    <w:uiPriority w:val="99"/>
    <w:semiHidden/>
    <w:unhideWhenUsed/>
    <w:rsid w:val="00FA4F16"/>
    <w:rPr>
      <w:color w:val="954F72" w:themeColor="followedHyperlink"/>
      <w:u w:val="single"/>
    </w:rPr>
  </w:style>
  <w:style w:type="character" w:styleId="CommentReference">
    <w:name w:val="annotation reference"/>
    <w:basedOn w:val="DefaultParagraphFont"/>
    <w:uiPriority w:val="99"/>
    <w:semiHidden/>
    <w:unhideWhenUsed/>
    <w:rsid w:val="00723552"/>
    <w:rPr>
      <w:sz w:val="16"/>
      <w:szCs w:val="16"/>
    </w:rPr>
  </w:style>
  <w:style w:type="paragraph" w:styleId="CommentText">
    <w:name w:val="annotation text"/>
    <w:basedOn w:val="Normal"/>
    <w:link w:val="CommentTextChar"/>
    <w:uiPriority w:val="99"/>
    <w:unhideWhenUsed/>
    <w:rsid w:val="00723552"/>
    <w:pPr>
      <w:spacing w:line="240" w:lineRule="auto"/>
    </w:pPr>
    <w:rPr>
      <w:sz w:val="20"/>
      <w:szCs w:val="20"/>
    </w:rPr>
  </w:style>
  <w:style w:type="character" w:customStyle="1" w:styleId="CommentTextChar">
    <w:name w:val="Comment Text Char"/>
    <w:basedOn w:val="DefaultParagraphFont"/>
    <w:link w:val="CommentText"/>
    <w:uiPriority w:val="99"/>
    <w:rsid w:val="00723552"/>
    <w:rPr>
      <w:sz w:val="20"/>
      <w:szCs w:val="20"/>
    </w:rPr>
  </w:style>
  <w:style w:type="paragraph" w:styleId="CommentSubject">
    <w:name w:val="annotation subject"/>
    <w:basedOn w:val="CommentText"/>
    <w:next w:val="CommentText"/>
    <w:link w:val="CommentSubjectChar"/>
    <w:uiPriority w:val="99"/>
    <w:semiHidden/>
    <w:unhideWhenUsed/>
    <w:rsid w:val="00723552"/>
    <w:rPr>
      <w:b/>
      <w:bCs/>
    </w:rPr>
  </w:style>
  <w:style w:type="character" w:customStyle="1" w:styleId="CommentSubjectChar">
    <w:name w:val="Comment Subject Char"/>
    <w:basedOn w:val="CommentTextChar"/>
    <w:link w:val="CommentSubject"/>
    <w:uiPriority w:val="99"/>
    <w:semiHidden/>
    <w:rsid w:val="00723552"/>
    <w:rPr>
      <w:b/>
      <w:bCs/>
      <w:sz w:val="20"/>
      <w:szCs w:val="20"/>
    </w:rPr>
  </w:style>
  <w:style w:type="character" w:styleId="UnresolvedMention">
    <w:name w:val="Unresolved Mention"/>
    <w:basedOn w:val="DefaultParagraphFont"/>
    <w:uiPriority w:val="99"/>
    <w:semiHidden/>
    <w:unhideWhenUsed/>
    <w:rsid w:val="00AE58C2"/>
    <w:rPr>
      <w:color w:val="605E5C"/>
      <w:shd w:val="clear" w:color="auto" w:fill="E1DFDD"/>
    </w:rPr>
  </w:style>
  <w:style w:type="character" w:customStyle="1" w:styleId="Heading1Char">
    <w:name w:val="Heading 1 Char"/>
    <w:basedOn w:val="DefaultParagraphFont"/>
    <w:link w:val="Heading1"/>
    <w:uiPriority w:val="9"/>
    <w:rsid w:val="000744A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8E57E1"/>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8E5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126">
      <w:bodyDiv w:val="1"/>
      <w:marLeft w:val="0"/>
      <w:marRight w:val="0"/>
      <w:marTop w:val="0"/>
      <w:marBottom w:val="0"/>
      <w:divBdr>
        <w:top w:val="none" w:sz="0" w:space="0" w:color="auto"/>
        <w:left w:val="none" w:sz="0" w:space="0" w:color="auto"/>
        <w:bottom w:val="none" w:sz="0" w:space="0" w:color="auto"/>
        <w:right w:val="none" w:sz="0" w:space="0" w:color="auto"/>
      </w:divBdr>
    </w:div>
    <w:div w:id="202521444">
      <w:bodyDiv w:val="1"/>
      <w:marLeft w:val="0"/>
      <w:marRight w:val="0"/>
      <w:marTop w:val="0"/>
      <w:marBottom w:val="0"/>
      <w:divBdr>
        <w:top w:val="none" w:sz="0" w:space="0" w:color="auto"/>
        <w:left w:val="none" w:sz="0" w:space="0" w:color="auto"/>
        <w:bottom w:val="none" w:sz="0" w:space="0" w:color="auto"/>
        <w:right w:val="none" w:sz="0" w:space="0" w:color="auto"/>
      </w:divBdr>
    </w:div>
    <w:div w:id="203713575">
      <w:bodyDiv w:val="1"/>
      <w:marLeft w:val="0"/>
      <w:marRight w:val="0"/>
      <w:marTop w:val="0"/>
      <w:marBottom w:val="0"/>
      <w:divBdr>
        <w:top w:val="none" w:sz="0" w:space="0" w:color="auto"/>
        <w:left w:val="none" w:sz="0" w:space="0" w:color="auto"/>
        <w:bottom w:val="none" w:sz="0" w:space="0" w:color="auto"/>
        <w:right w:val="none" w:sz="0" w:space="0" w:color="auto"/>
      </w:divBdr>
    </w:div>
    <w:div w:id="204217119">
      <w:bodyDiv w:val="1"/>
      <w:marLeft w:val="0"/>
      <w:marRight w:val="0"/>
      <w:marTop w:val="0"/>
      <w:marBottom w:val="0"/>
      <w:divBdr>
        <w:top w:val="none" w:sz="0" w:space="0" w:color="auto"/>
        <w:left w:val="none" w:sz="0" w:space="0" w:color="auto"/>
        <w:bottom w:val="none" w:sz="0" w:space="0" w:color="auto"/>
        <w:right w:val="none" w:sz="0" w:space="0" w:color="auto"/>
      </w:divBdr>
      <w:divsChild>
        <w:div w:id="682439514">
          <w:marLeft w:val="0"/>
          <w:marRight w:val="0"/>
          <w:marTop w:val="0"/>
          <w:marBottom w:val="0"/>
          <w:divBdr>
            <w:top w:val="none" w:sz="0" w:space="0" w:color="auto"/>
            <w:left w:val="none" w:sz="0" w:space="0" w:color="auto"/>
            <w:bottom w:val="none" w:sz="0" w:space="0" w:color="auto"/>
            <w:right w:val="none" w:sz="0" w:space="0" w:color="auto"/>
          </w:divBdr>
        </w:div>
      </w:divsChild>
    </w:div>
    <w:div w:id="219369055">
      <w:bodyDiv w:val="1"/>
      <w:marLeft w:val="0"/>
      <w:marRight w:val="0"/>
      <w:marTop w:val="0"/>
      <w:marBottom w:val="0"/>
      <w:divBdr>
        <w:top w:val="none" w:sz="0" w:space="0" w:color="auto"/>
        <w:left w:val="none" w:sz="0" w:space="0" w:color="auto"/>
        <w:bottom w:val="none" w:sz="0" w:space="0" w:color="auto"/>
        <w:right w:val="none" w:sz="0" w:space="0" w:color="auto"/>
      </w:divBdr>
    </w:div>
    <w:div w:id="519007932">
      <w:bodyDiv w:val="1"/>
      <w:marLeft w:val="0"/>
      <w:marRight w:val="0"/>
      <w:marTop w:val="0"/>
      <w:marBottom w:val="0"/>
      <w:divBdr>
        <w:top w:val="none" w:sz="0" w:space="0" w:color="auto"/>
        <w:left w:val="none" w:sz="0" w:space="0" w:color="auto"/>
        <w:bottom w:val="none" w:sz="0" w:space="0" w:color="auto"/>
        <w:right w:val="none" w:sz="0" w:space="0" w:color="auto"/>
      </w:divBdr>
    </w:div>
    <w:div w:id="616835504">
      <w:bodyDiv w:val="1"/>
      <w:marLeft w:val="0"/>
      <w:marRight w:val="0"/>
      <w:marTop w:val="0"/>
      <w:marBottom w:val="0"/>
      <w:divBdr>
        <w:top w:val="none" w:sz="0" w:space="0" w:color="auto"/>
        <w:left w:val="none" w:sz="0" w:space="0" w:color="auto"/>
        <w:bottom w:val="none" w:sz="0" w:space="0" w:color="auto"/>
        <w:right w:val="none" w:sz="0" w:space="0" w:color="auto"/>
      </w:divBdr>
      <w:divsChild>
        <w:div w:id="1766073024">
          <w:marLeft w:val="0"/>
          <w:marRight w:val="0"/>
          <w:marTop w:val="0"/>
          <w:marBottom w:val="0"/>
          <w:divBdr>
            <w:top w:val="none" w:sz="0" w:space="0" w:color="auto"/>
            <w:left w:val="none" w:sz="0" w:space="0" w:color="auto"/>
            <w:bottom w:val="none" w:sz="0" w:space="0" w:color="auto"/>
            <w:right w:val="none" w:sz="0" w:space="0" w:color="auto"/>
          </w:divBdr>
        </w:div>
      </w:divsChild>
    </w:div>
    <w:div w:id="822426595">
      <w:bodyDiv w:val="1"/>
      <w:marLeft w:val="0"/>
      <w:marRight w:val="0"/>
      <w:marTop w:val="0"/>
      <w:marBottom w:val="0"/>
      <w:divBdr>
        <w:top w:val="none" w:sz="0" w:space="0" w:color="auto"/>
        <w:left w:val="none" w:sz="0" w:space="0" w:color="auto"/>
        <w:bottom w:val="none" w:sz="0" w:space="0" w:color="auto"/>
        <w:right w:val="none" w:sz="0" w:space="0" w:color="auto"/>
      </w:divBdr>
      <w:divsChild>
        <w:div w:id="1216431617">
          <w:marLeft w:val="0"/>
          <w:marRight w:val="0"/>
          <w:marTop w:val="0"/>
          <w:marBottom w:val="0"/>
          <w:divBdr>
            <w:top w:val="none" w:sz="0" w:space="0" w:color="auto"/>
            <w:left w:val="none" w:sz="0" w:space="0" w:color="auto"/>
            <w:bottom w:val="none" w:sz="0" w:space="0" w:color="auto"/>
            <w:right w:val="none" w:sz="0" w:space="0" w:color="auto"/>
          </w:divBdr>
        </w:div>
      </w:divsChild>
    </w:div>
    <w:div w:id="826169520">
      <w:bodyDiv w:val="1"/>
      <w:marLeft w:val="0"/>
      <w:marRight w:val="0"/>
      <w:marTop w:val="0"/>
      <w:marBottom w:val="0"/>
      <w:divBdr>
        <w:top w:val="none" w:sz="0" w:space="0" w:color="auto"/>
        <w:left w:val="none" w:sz="0" w:space="0" w:color="auto"/>
        <w:bottom w:val="none" w:sz="0" w:space="0" w:color="auto"/>
        <w:right w:val="none" w:sz="0" w:space="0" w:color="auto"/>
      </w:divBdr>
    </w:div>
    <w:div w:id="1341858025">
      <w:bodyDiv w:val="1"/>
      <w:marLeft w:val="0"/>
      <w:marRight w:val="0"/>
      <w:marTop w:val="0"/>
      <w:marBottom w:val="0"/>
      <w:divBdr>
        <w:top w:val="none" w:sz="0" w:space="0" w:color="auto"/>
        <w:left w:val="none" w:sz="0" w:space="0" w:color="auto"/>
        <w:bottom w:val="none" w:sz="0" w:space="0" w:color="auto"/>
        <w:right w:val="none" w:sz="0" w:space="0" w:color="auto"/>
      </w:divBdr>
      <w:divsChild>
        <w:div w:id="523521652">
          <w:marLeft w:val="0"/>
          <w:marRight w:val="0"/>
          <w:marTop w:val="0"/>
          <w:marBottom w:val="0"/>
          <w:divBdr>
            <w:top w:val="none" w:sz="0" w:space="0" w:color="auto"/>
            <w:left w:val="none" w:sz="0" w:space="0" w:color="auto"/>
            <w:bottom w:val="none" w:sz="0" w:space="0" w:color="auto"/>
            <w:right w:val="none" w:sz="0" w:space="0" w:color="auto"/>
          </w:divBdr>
        </w:div>
      </w:divsChild>
    </w:div>
    <w:div w:id="1722972248">
      <w:bodyDiv w:val="1"/>
      <w:marLeft w:val="0"/>
      <w:marRight w:val="0"/>
      <w:marTop w:val="0"/>
      <w:marBottom w:val="0"/>
      <w:divBdr>
        <w:top w:val="none" w:sz="0" w:space="0" w:color="auto"/>
        <w:left w:val="none" w:sz="0" w:space="0" w:color="auto"/>
        <w:bottom w:val="none" w:sz="0" w:space="0" w:color="auto"/>
        <w:right w:val="none" w:sz="0" w:space="0" w:color="auto"/>
      </w:divBdr>
    </w:div>
    <w:div w:id="1986855129">
      <w:bodyDiv w:val="1"/>
      <w:marLeft w:val="0"/>
      <w:marRight w:val="0"/>
      <w:marTop w:val="0"/>
      <w:marBottom w:val="0"/>
      <w:divBdr>
        <w:top w:val="none" w:sz="0" w:space="0" w:color="auto"/>
        <w:left w:val="none" w:sz="0" w:space="0" w:color="auto"/>
        <w:bottom w:val="none" w:sz="0" w:space="0" w:color="auto"/>
        <w:right w:val="none" w:sz="0" w:space="0" w:color="auto"/>
      </w:divBdr>
      <w:divsChild>
        <w:div w:id="199263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ph.ncdhhs.gov/programs/epidemiology/communicable-disease/infectious-respiratory-diseases/measles-rubeola/measles-cases-and-outbreaks-north-carolin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ph.ncdhhs.gov/programs/epidemiology/communicable-disease/measles/provi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h.ncdhhs.gov/epidemiology/communicable-disease/confidential-communicable-disease-report-fillable/op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ph.ncdhhs.gov/programs/epidemiology/immunization/you-and-your-family/your-immunization-record/tips-to-loc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734861A6DBF42BC46A7FFB1A8862E" ma:contentTypeVersion="1" ma:contentTypeDescription="Create a new document." ma:contentTypeScope="" ma:versionID="a6852f2daa26e93986b48196c9ddec18">
  <xsd:schema xmlns:xsd="http://www.w3.org/2001/XMLSchema" xmlns:xs="http://www.w3.org/2001/XMLSchema" xmlns:p="http://schemas.microsoft.com/office/2006/metadata/properties" xmlns:ns2="e889eaf6-d73c-4c71-b926-de0af18c77f0" targetNamespace="http://schemas.microsoft.com/office/2006/metadata/properties" ma:root="true" ma:fieldsID="5bf235491bd61ff47d74a61591a62c72" ns2:_="">
    <xsd:import namespace="e889eaf6-d73c-4c71-b926-de0af18c77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eaf6-d73c-4c71-b926-de0af18c77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51A28-C261-4180-813E-B55108BB49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A3FC5-27CC-4727-AF32-D014406C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eaf6-d73c-4c71-b926-de0af18c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9A5F2-82AB-4138-A6D7-743A975E4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869</Words>
  <Characters>5257</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Dacy Shute</dc:creator>
  <cp:keywords/>
  <dc:description/>
  <cp:lastModifiedBy>Emily Killian</cp:lastModifiedBy>
  <cp:revision>7</cp:revision>
  <dcterms:created xsi:type="dcterms:W3CDTF">2026-02-05T16:38:00Z</dcterms:created>
  <dcterms:modified xsi:type="dcterms:W3CDTF">2026-02-05T23:12:00Z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0x010100007734861A6DBF42BC46A7FFB1A8862E</vt:lpwstr>
  </property>
</Properties>
</file>