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6F12" w14:textId="356DB416" w:rsidR="00032E20" w:rsidRPr="00A1677C" w:rsidRDefault="00032E20" w:rsidP="00032E20">
      <w:pPr>
        <w:spacing w:line="240" w:lineRule="auto"/>
      </w:pPr>
      <w:r>
        <w:t>TO: Healthcare Providers in Catawba County</w:t>
      </w:r>
      <w:r w:rsidR="00A1677C">
        <w:br/>
      </w:r>
      <w:r>
        <w:t>FROM: Catawba County Public Health Director Jennifer McCracken, RN, MPA</w:t>
      </w:r>
      <w:r w:rsidR="00A1677C">
        <w:br/>
      </w:r>
      <w:r>
        <w:t>DAT</w:t>
      </w:r>
      <w:r w:rsidRPr="00583C53">
        <w:t>E:</w:t>
      </w:r>
      <w:r w:rsidR="00583C53" w:rsidRPr="00583C53">
        <w:t xml:space="preserve"> February 23</w:t>
      </w:r>
      <w:r w:rsidR="00111C52" w:rsidRPr="00583C53">
        <w:t>, 2026</w:t>
      </w:r>
    </w:p>
    <w:p w14:paraId="6208C7C4" w14:textId="77777777" w:rsidR="00676F8C" w:rsidRDefault="00676F8C" w:rsidP="00032E20">
      <w:pPr>
        <w:spacing w:line="240" w:lineRule="auto"/>
      </w:pPr>
    </w:p>
    <w:p w14:paraId="50BC6EA7" w14:textId="76BCD78F" w:rsidR="00032E20" w:rsidRPr="006475B2" w:rsidRDefault="00FD7DEC" w:rsidP="00111C52">
      <w:pPr>
        <w:spacing w:line="240" w:lineRule="auto"/>
        <w:jc w:val="center"/>
        <w:rPr>
          <w:b/>
        </w:rPr>
      </w:pPr>
      <w:r>
        <w:rPr>
          <w:b/>
        </w:rPr>
        <w:t xml:space="preserve">MEASLES </w:t>
      </w:r>
      <w:r w:rsidR="00583C53">
        <w:rPr>
          <w:b/>
        </w:rPr>
        <w:t>EXPOSURE LOCATION ANNOUNCED</w:t>
      </w:r>
      <w:r w:rsidR="00690E4C">
        <w:rPr>
          <w:b/>
        </w:rPr>
        <w:t xml:space="preserve"> IN CATAWBA COUNTY</w:t>
      </w:r>
      <w:r w:rsidR="00111C52">
        <w:rPr>
          <w:b/>
        </w:rPr>
        <w:t xml:space="preserve">; </w:t>
      </w:r>
      <w:r w:rsidR="00111C52">
        <w:rPr>
          <w:b/>
        </w:rPr>
        <w:br/>
      </w:r>
      <w:r w:rsidR="00032E20">
        <w:rPr>
          <w:b/>
        </w:rPr>
        <w:t xml:space="preserve">PROVIDERS SHOULD STAY ALERT FOR </w:t>
      </w:r>
      <w:r w:rsidR="00111C52">
        <w:rPr>
          <w:b/>
        </w:rPr>
        <w:t>CASES</w:t>
      </w:r>
    </w:p>
    <w:p w14:paraId="021214F8" w14:textId="2E4ECFDE" w:rsidR="00583C53" w:rsidRDefault="00111C52" w:rsidP="00032E20">
      <w:pPr>
        <w:spacing w:line="240" w:lineRule="auto"/>
      </w:pPr>
      <w:r>
        <w:t>Catawba County Public Health has been notified of a</w:t>
      </w:r>
      <w:r w:rsidR="00690E4C" w:rsidRPr="00111C52">
        <w:t xml:space="preserve"> </w:t>
      </w:r>
      <w:r w:rsidR="00583C53">
        <w:t xml:space="preserve">case of </w:t>
      </w:r>
      <w:r w:rsidR="00690E4C" w:rsidRPr="00111C52">
        <w:t>measles</w:t>
      </w:r>
      <w:r w:rsidR="00583C53">
        <w:t xml:space="preserve"> in a Burke County resident that may have resulted in exposures </w:t>
      </w:r>
      <w:r w:rsidR="00CB42C3">
        <w:t>at a</w:t>
      </w:r>
      <w:r w:rsidR="00583C53">
        <w:t xml:space="preserve"> Catawba County</w:t>
      </w:r>
      <w:r w:rsidR="00CB42C3">
        <w:t xml:space="preserve"> location</w:t>
      </w:r>
      <w:r w:rsidR="00583C53">
        <w:t xml:space="preserve">. </w:t>
      </w:r>
      <w:proofErr w:type="gramStart"/>
      <w:r w:rsidR="00583C53">
        <w:t>At this time</w:t>
      </w:r>
      <w:proofErr w:type="gramEnd"/>
      <w:r w:rsidR="00583C53">
        <w:t xml:space="preserve">, Catawba County has not received any reports of cases here. </w:t>
      </w:r>
    </w:p>
    <w:p w14:paraId="0E9200F3" w14:textId="0DD70D2B" w:rsidR="00E44E23" w:rsidRDefault="00E44E23" w:rsidP="00032E20">
      <w:pPr>
        <w:spacing w:line="240" w:lineRule="auto"/>
      </w:pPr>
      <w:r>
        <w:t>Catawba County Public Health is working closely with the North Carolina Department of Health and Human Services (</w:t>
      </w:r>
      <w:r w:rsidR="000F039D">
        <w:t>NC</w:t>
      </w:r>
      <w:r>
        <w:t>DHHS)</w:t>
      </w:r>
      <w:r w:rsidR="00583C53">
        <w:t xml:space="preserve"> and Burke County Public Health</w:t>
      </w:r>
      <w:r>
        <w:t xml:space="preserve"> to identify </w:t>
      </w:r>
      <w:r w:rsidR="00583C53">
        <w:t xml:space="preserve">and </w:t>
      </w:r>
      <w:r w:rsidR="00B85C64">
        <w:t>notify exposed contacts</w:t>
      </w:r>
      <w:r>
        <w:t xml:space="preserve">. </w:t>
      </w:r>
    </w:p>
    <w:p w14:paraId="43472E93" w14:textId="00018BC7" w:rsidR="00583C53" w:rsidRPr="00DA52DB" w:rsidRDefault="00583C53" w:rsidP="00583C53">
      <w:r w:rsidRPr="000D12B2">
        <w:rPr>
          <w:rStyle w:val="Heading2Char"/>
        </w:rPr>
        <w:t>Exposure Location</w:t>
      </w:r>
      <w:r>
        <w:rPr>
          <w:rStyle w:val="Heading2Char"/>
        </w:rPr>
        <w:t>s</w:t>
      </w:r>
      <w:r w:rsidRPr="00DA52DB">
        <w:br/>
      </w:r>
      <w:r w:rsidR="00F624F2">
        <w:t>Catawba County residents</w:t>
      </w:r>
      <w:r w:rsidRPr="00DA52DB">
        <w:t xml:space="preserve"> who visited these locations at the listed times may have been exposed to measles: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2682"/>
        <w:gridCol w:w="3190"/>
      </w:tblGrid>
      <w:tr w:rsidR="00583C53" w:rsidRPr="00DA52DB" w14:paraId="77346F38" w14:textId="77777777" w:rsidTr="00583C53">
        <w:trPr>
          <w:trHeight w:val="351"/>
          <w:tblHeader/>
        </w:trPr>
        <w:tc>
          <w:tcPr>
            <w:tcW w:w="1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CD29CF0" w14:textId="77777777" w:rsidR="00583C53" w:rsidRPr="000D12B2" w:rsidRDefault="00583C53" w:rsidP="00845CD0">
            <w:pPr>
              <w:rPr>
                <w:b/>
                <w:bCs/>
                <w:color w:val="FFFFFF" w:themeColor="background1"/>
              </w:rPr>
            </w:pPr>
            <w:r w:rsidRPr="000D12B2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6DB6D5E" w14:textId="77777777" w:rsidR="00583C53" w:rsidRPr="000D12B2" w:rsidRDefault="00583C53" w:rsidP="00845CD0">
            <w:pPr>
              <w:rPr>
                <w:b/>
                <w:bCs/>
                <w:color w:val="FFFFFF" w:themeColor="background1"/>
              </w:rPr>
            </w:pPr>
            <w:r w:rsidRPr="000D12B2">
              <w:rPr>
                <w:b/>
                <w:bCs/>
                <w:color w:val="FFFFFF" w:themeColor="background1"/>
              </w:rPr>
              <w:t xml:space="preserve">Date and </w:t>
            </w:r>
            <w:proofErr w:type="gramStart"/>
            <w:r w:rsidRPr="000D12B2">
              <w:rPr>
                <w:b/>
                <w:bCs/>
                <w:color w:val="FFFFFF" w:themeColor="background1"/>
              </w:rPr>
              <w:t>Time</w:t>
            </w:r>
            <w:proofErr w:type="gramEnd"/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AFF823F" w14:textId="77777777" w:rsidR="00583C53" w:rsidRPr="000D12B2" w:rsidRDefault="00583C53" w:rsidP="00845CD0">
            <w:pPr>
              <w:rPr>
                <w:b/>
                <w:bCs/>
                <w:color w:val="FFFFFF" w:themeColor="background1"/>
              </w:rPr>
            </w:pPr>
            <w:r w:rsidRPr="000D12B2">
              <w:rPr>
                <w:b/>
                <w:bCs/>
                <w:color w:val="FFFFFF" w:themeColor="background1"/>
              </w:rPr>
              <w:t>Watch for Symptoms Through:</w:t>
            </w:r>
          </w:p>
        </w:tc>
      </w:tr>
      <w:tr w:rsidR="00583C53" w:rsidRPr="00DA52DB" w14:paraId="77D07789" w14:textId="77777777" w:rsidTr="00845CD0">
        <w:tc>
          <w:tcPr>
            <w:tcW w:w="1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19BAA5C" w14:textId="04E063D8" w:rsidR="00583C53" w:rsidRPr="00583C53" w:rsidRDefault="00583C53" w:rsidP="00583C53">
            <w:r w:rsidRPr="00583C53">
              <w:t>NY Hibachi Buffet</w:t>
            </w:r>
            <w:r w:rsidRPr="00583C53">
              <w:br/>
              <w:t>2128 US Hwy 70 SE</w:t>
            </w:r>
            <w:r w:rsidRPr="00583C53">
              <w:br/>
              <w:t>Hickory, NC 28602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BE35E5E" w14:textId="6CE7D35D" w:rsidR="00583C53" w:rsidRPr="00583C53" w:rsidRDefault="00583C53" w:rsidP="00845CD0">
            <w:r w:rsidRPr="00583C53">
              <w:t>February 14, 2026</w:t>
            </w:r>
            <w:r w:rsidRPr="00583C53">
              <w:br/>
              <w:t xml:space="preserve">3:00 to </w:t>
            </w:r>
            <w:r w:rsidR="001A688C">
              <w:t>6</w:t>
            </w:r>
            <w:r w:rsidRPr="00583C53">
              <w:t>:00 PM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CA818EA" w14:textId="733CCCF4" w:rsidR="00583C53" w:rsidRPr="00DA52DB" w:rsidRDefault="00583C53" w:rsidP="00845CD0">
            <w:r w:rsidRPr="00583C53">
              <w:t>February 28, 2026</w:t>
            </w:r>
          </w:p>
        </w:tc>
      </w:tr>
    </w:tbl>
    <w:p w14:paraId="520BBE91" w14:textId="77777777" w:rsidR="00583C53" w:rsidRDefault="00583C53" w:rsidP="00032E20">
      <w:pPr>
        <w:spacing w:line="240" w:lineRule="auto"/>
        <w:rPr>
          <w:b/>
          <w:bCs/>
        </w:rPr>
      </w:pPr>
    </w:p>
    <w:p w14:paraId="76D1BF6F" w14:textId="77777777" w:rsidR="000551CD" w:rsidRDefault="000551CD" w:rsidP="000551CD">
      <w:r>
        <w:t xml:space="preserve">People who were exposed </w:t>
      </w:r>
      <w:proofErr w:type="gramStart"/>
      <w:r>
        <w:t>at</w:t>
      </w:r>
      <w:proofErr w:type="gramEnd"/>
      <w:r>
        <w:t xml:space="preserve"> this site should </w:t>
      </w:r>
      <w:r w:rsidRPr="00AE0DFD">
        <w:t>watch for symptoms until February 28, 2026</w:t>
      </w:r>
      <w:r>
        <w:t>.</w:t>
      </w:r>
    </w:p>
    <w:p w14:paraId="67AA06A6" w14:textId="77777777" w:rsidR="000551CD" w:rsidRDefault="000551CD" w:rsidP="000551CD">
      <w:pPr>
        <w:spacing w:line="240" w:lineRule="auto"/>
      </w:pPr>
      <w:r>
        <w:t xml:space="preserve">Catawba County residents who feel they may have been exposed </w:t>
      </w:r>
      <w:proofErr w:type="gramStart"/>
      <w:r>
        <w:t>at</w:t>
      </w:r>
      <w:proofErr w:type="gramEnd"/>
      <w:r>
        <w:t xml:space="preserve"> this location or any of the others on the state exposure web site</w:t>
      </w:r>
      <w:r w:rsidRPr="00AE0DFD">
        <w:t xml:space="preserve"> are being asked to call Catawba County Public Health’s Measles Hotline at (828) 695-5769. </w:t>
      </w:r>
      <w:r>
        <w:t xml:space="preserve">Those additional exposure sites are listed at </w:t>
      </w:r>
      <w:hyperlink r:id="rId10" w:history="1">
        <w:r w:rsidRPr="006C0F24">
          <w:rPr>
            <w:rStyle w:val="Hyperlink"/>
          </w:rPr>
          <w:t>https://www.dph.ncdhhs.gov/programs/epidemiology/communicable-disease/infectious-respiratory-diseases/measles-rubeola/measles-exposure-locations</w:t>
        </w:r>
      </w:hyperlink>
      <w:r>
        <w:t xml:space="preserve">. </w:t>
      </w:r>
    </w:p>
    <w:p w14:paraId="43725786" w14:textId="4F1DF021" w:rsidR="00B85C64" w:rsidRDefault="00B85C64" w:rsidP="00032E20">
      <w:pPr>
        <w:spacing w:line="240" w:lineRule="auto"/>
      </w:pPr>
      <w:r w:rsidRPr="000F039D">
        <w:rPr>
          <w:b/>
          <w:bCs/>
        </w:rPr>
        <w:t>H</w:t>
      </w:r>
      <w:r w:rsidR="00E44E23" w:rsidRPr="000F039D">
        <w:rPr>
          <w:b/>
          <w:bCs/>
        </w:rPr>
        <w:t>ealthcare p</w:t>
      </w:r>
      <w:r w:rsidR="00DA1E12" w:rsidRPr="000F039D">
        <w:rPr>
          <w:b/>
          <w:bCs/>
        </w:rPr>
        <w:t xml:space="preserve">roviders should remain vigilant </w:t>
      </w:r>
      <w:r w:rsidR="001956BD" w:rsidRPr="000F039D">
        <w:rPr>
          <w:b/>
          <w:bCs/>
        </w:rPr>
        <w:t>in screening patients for measles symptoms</w:t>
      </w:r>
      <w:r w:rsidR="003D0A35" w:rsidRPr="000F039D">
        <w:rPr>
          <w:b/>
          <w:bCs/>
        </w:rPr>
        <w:t xml:space="preserve"> and</w:t>
      </w:r>
      <w:r w:rsidR="00905168" w:rsidRPr="000F039D">
        <w:rPr>
          <w:b/>
          <w:bCs/>
        </w:rPr>
        <w:t xml:space="preserve"> </w:t>
      </w:r>
      <w:r w:rsidR="00905168" w:rsidRPr="000F039D">
        <w:rPr>
          <w:b/>
          <w:bCs/>
          <w:u w:val="single"/>
        </w:rPr>
        <w:t>immediately</w:t>
      </w:r>
      <w:r w:rsidR="00905168" w:rsidRPr="000F039D">
        <w:rPr>
          <w:b/>
          <w:bCs/>
        </w:rPr>
        <w:t xml:space="preserve"> notify</w:t>
      </w:r>
      <w:r w:rsidR="003D0A35" w:rsidRPr="000F039D">
        <w:rPr>
          <w:b/>
          <w:bCs/>
        </w:rPr>
        <w:t xml:space="preserve"> Catawba County </w:t>
      </w:r>
      <w:r w:rsidR="000D4D6D" w:rsidRPr="000F039D">
        <w:rPr>
          <w:b/>
          <w:bCs/>
        </w:rPr>
        <w:t xml:space="preserve">Public Health </w:t>
      </w:r>
      <w:r w:rsidR="00B91BA4" w:rsidRPr="000F039D">
        <w:rPr>
          <w:b/>
          <w:bCs/>
        </w:rPr>
        <w:t>or the state Communicable Disease Branch</w:t>
      </w:r>
      <w:r w:rsidRPr="000F039D">
        <w:rPr>
          <w:b/>
          <w:bCs/>
        </w:rPr>
        <w:t xml:space="preserve"> of any suspected or confirmed cases</w:t>
      </w:r>
      <w:r w:rsidR="003D0A35" w:rsidRPr="000F039D">
        <w:rPr>
          <w:b/>
          <w:bCs/>
        </w:rPr>
        <w:t>.</w:t>
      </w:r>
      <w:r w:rsidR="00B840DE" w:rsidRPr="000F039D">
        <w:rPr>
          <w:b/>
          <w:bCs/>
        </w:rPr>
        <w:t xml:space="preserve"> </w:t>
      </w:r>
      <w:r w:rsidRPr="00A517B5">
        <w:rPr>
          <w:b/>
          <w:bCs/>
        </w:rPr>
        <w:t xml:space="preserve">Health care providers are required by North Carolina law to report cases of measles within </w:t>
      </w:r>
      <w:r w:rsidRPr="00583C53">
        <w:rPr>
          <w:b/>
          <w:bCs/>
          <w:u w:val="single"/>
        </w:rPr>
        <w:t>24 hours</w:t>
      </w:r>
      <w:r w:rsidRPr="00A517B5">
        <w:rPr>
          <w:b/>
          <w:bCs/>
        </w:rPr>
        <w:t xml:space="preserve"> to the local health department. Providers should report both suspected/probable and laboratory-confirmed cases</w:t>
      </w:r>
      <w:r>
        <w:rPr>
          <w:bCs/>
        </w:rPr>
        <w:t>.</w:t>
      </w:r>
      <w:r w:rsidRPr="00892D4D">
        <w:rPr>
          <w:bCs/>
        </w:rPr>
        <w:t> </w:t>
      </w:r>
    </w:p>
    <w:p w14:paraId="14A8A34F" w14:textId="3192DF50" w:rsidR="00E44E23" w:rsidRPr="00E44E23" w:rsidRDefault="00E44E23" w:rsidP="00583C53">
      <w:pPr>
        <w:pStyle w:val="Heading2"/>
      </w:pPr>
      <w:r w:rsidRPr="00E44E23">
        <w:lastRenderedPageBreak/>
        <w:t xml:space="preserve">Where to </w:t>
      </w:r>
      <w:r w:rsidR="00583C53">
        <w:t>R</w:t>
      </w:r>
      <w:r w:rsidRPr="00E44E23">
        <w:t>eport</w:t>
      </w:r>
      <w:r>
        <w:t>:</w:t>
      </w:r>
    </w:p>
    <w:p w14:paraId="248DD69B" w14:textId="635AB2B8" w:rsidR="00E44E23" w:rsidRDefault="00E44E23" w:rsidP="00E44E23">
      <w:pPr>
        <w:pStyle w:val="ListParagraph"/>
        <w:numPr>
          <w:ilvl w:val="0"/>
          <w:numId w:val="2"/>
        </w:numPr>
      </w:pPr>
      <w:r w:rsidRPr="00ED4B83">
        <w:t>Catawba County Public Health</w:t>
      </w:r>
      <w:r>
        <w:t>’s</w:t>
      </w:r>
      <w:r w:rsidRPr="00ED4B83">
        <w:t xml:space="preserve"> Communicable Disease Team</w:t>
      </w:r>
      <w:r w:rsidR="00583C53">
        <w:t xml:space="preserve"> (available 8 AM to 5 PM)</w:t>
      </w:r>
      <w:r>
        <w:t xml:space="preserve">: Call </w:t>
      </w:r>
      <w:r w:rsidRPr="00ED4B83">
        <w:t>(828) 695-</w:t>
      </w:r>
      <w:r w:rsidR="00A1677C" w:rsidRPr="00A1677C">
        <w:t>5823</w:t>
      </w:r>
      <w:r>
        <w:t xml:space="preserve"> or fax </w:t>
      </w:r>
      <w:r w:rsidRPr="00ED4B83">
        <w:t>(828) 695-5103</w:t>
      </w:r>
    </w:p>
    <w:p w14:paraId="706EC808" w14:textId="77777777" w:rsidR="00E44E23" w:rsidRPr="00ED4B83" w:rsidRDefault="00E44E23" w:rsidP="00E44E23">
      <w:pPr>
        <w:pStyle w:val="ListParagraph"/>
        <w:numPr>
          <w:ilvl w:val="0"/>
          <w:numId w:val="2"/>
        </w:numPr>
      </w:pPr>
      <w:r>
        <w:t xml:space="preserve">North Carolina’s </w:t>
      </w:r>
      <w:r w:rsidRPr="00E93B10">
        <w:t>Communicable Disease Branch</w:t>
      </w:r>
      <w:r>
        <w:t xml:space="preserve"> (</w:t>
      </w:r>
      <w:r w:rsidRPr="00E93B10">
        <w:t>available 24/7)</w:t>
      </w:r>
      <w:r>
        <w:t xml:space="preserve">: Call </w:t>
      </w:r>
      <w:r w:rsidRPr="00E93B10">
        <w:t xml:space="preserve">(919) 733-3419 </w:t>
      </w:r>
    </w:p>
    <w:p w14:paraId="64FCBEEF" w14:textId="77777777" w:rsidR="00E44E23" w:rsidRPr="009A4AAB" w:rsidRDefault="00E44E23" w:rsidP="00E44E23">
      <w:pPr>
        <w:rPr>
          <w:b/>
          <w:bCs/>
        </w:rPr>
      </w:pPr>
      <w:r w:rsidRPr="000F58B4">
        <w:rPr>
          <w:b/>
          <w:bCs/>
        </w:rPr>
        <w:t xml:space="preserve">North Carolina’s Communicable Disease Reporting Form: </w:t>
      </w:r>
      <w:hyperlink r:id="rId11" w:tooltip="https://epi.dph.ncdhhs.gov/cd/docs/ConfidentialCommunicableDiseaseReport_Part1.pdf" w:history="1">
        <w:r>
          <w:rPr>
            <w:rStyle w:val="Hyperlink"/>
            <w:b/>
            <w:bCs/>
          </w:rPr>
          <w:t>https://www.dph.ncdhhs.gov/epidemiology/communicable-disease/confidential-communicable-disease-report-fillable/open</w:t>
        </w:r>
      </w:hyperlink>
      <w:r w:rsidRPr="000F58B4">
        <w:rPr>
          <w:b/>
          <w:bCs/>
        </w:rPr>
        <w:t xml:space="preserve"> </w:t>
      </w:r>
    </w:p>
    <w:p w14:paraId="737AE7B2" w14:textId="212BC72C" w:rsidR="00645729" w:rsidRDefault="00645729" w:rsidP="00645729">
      <w:pPr>
        <w:rPr>
          <w:bCs/>
        </w:rPr>
      </w:pPr>
      <w:r>
        <w:t>This</w:t>
      </w:r>
      <w:r>
        <w:rPr>
          <w:color w:val="000000" w:themeColor="text1"/>
        </w:rPr>
        <w:t xml:space="preserve"> is an evolving situation, and </w:t>
      </w:r>
      <w:r>
        <w:rPr>
          <w:bCs/>
        </w:rPr>
        <w:t>a</w:t>
      </w:r>
      <w:r w:rsidRPr="00892D4D">
        <w:rPr>
          <w:bCs/>
        </w:rPr>
        <w:t>dditional public health recommendations may be forthcoming if</w:t>
      </w:r>
      <w:r w:rsidR="00661854">
        <w:rPr>
          <w:bCs/>
        </w:rPr>
        <w:t xml:space="preserve"> </w:t>
      </w:r>
      <w:r w:rsidRPr="00892D4D">
        <w:rPr>
          <w:bCs/>
        </w:rPr>
        <w:t xml:space="preserve">cases or outbreaks are identified in </w:t>
      </w:r>
      <w:r>
        <w:rPr>
          <w:bCs/>
        </w:rPr>
        <w:t>Catawba County.</w:t>
      </w:r>
    </w:p>
    <w:p w14:paraId="5FF9BA55" w14:textId="4505F5E0" w:rsidR="00047B8A" w:rsidRDefault="00047B8A" w:rsidP="00645729">
      <w:pPr>
        <w:rPr>
          <w:bCs/>
        </w:rPr>
      </w:pPr>
      <w:r>
        <w:rPr>
          <w:bCs/>
        </w:rPr>
        <w:t xml:space="preserve">NCDHHS has a </w:t>
      </w:r>
      <w:hyperlink r:id="rId12" w:history="1">
        <w:r w:rsidR="00A34FF7">
          <w:rPr>
            <w:rStyle w:val="Hyperlink"/>
            <w:bCs/>
          </w:rPr>
          <w:t>dashboard</w:t>
        </w:r>
        <w:r w:rsidRPr="00047B8A">
          <w:rPr>
            <w:rStyle w:val="Hyperlink"/>
            <w:bCs/>
          </w:rPr>
          <w:t xml:space="preserve"> </w:t>
        </w:r>
      </w:hyperlink>
      <w:r>
        <w:rPr>
          <w:bCs/>
        </w:rPr>
        <w:t xml:space="preserve">for measles case data and guidance at </w:t>
      </w:r>
      <w:hyperlink r:id="rId13" w:history="1">
        <w:r w:rsidRPr="009733F7">
          <w:rPr>
            <w:rStyle w:val="Hyperlink"/>
            <w:bCs/>
          </w:rPr>
          <w:t>https://www.dph.ncdhhs.gov/programs/epidemiology/communicable-disease/infectious-respiratory-diseases/measles-rubeola/measles-cases-and-outbreaks-north-carolina</w:t>
        </w:r>
      </w:hyperlink>
      <w:r>
        <w:rPr>
          <w:bCs/>
        </w:rPr>
        <w:t xml:space="preserve">. </w:t>
      </w:r>
    </w:p>
    <w:p w14:paraId="5C18D277" w14:textId="54AC6200" w:rsidR="009632A3" w:rsidRDefault="00B85C64" w:rsidP="009632A3">
      <w:pPr>
        <w:spacing w:line="240" w:lineRule="auto"/>
      </w:pPr>
      <w:r>
        <w:t>P</w:t>
      </w:r>
      <w:r w:rsidR="009632A3" w:rsidRPr="006008C9">
        <w:t xml:space="preserve">roviders should be on alert for patients who have: </w:t>
      </w:r>
    </w:p>
    <w:p w14:paraId="3F4EF9AB" w14:textId="5CA51908" w:rsidR="009632A3" w:rsidRDefault="009632A3" w:rsidP="009632A3">
      <w:pPr>
        <w:pStyle w:val="ListParagraph"/>
        <w:numPr>
          <w:ilvl w:val="0"/>
          <w:numId w:val="1"/>
        </w:numPr>
        <w:spacing w:line="240" w:lineRule="auto"/>
      </w:pPr>
      <w:r>
        <w:t>F</w:t>
      </w:r>
      <w:r w:rsidRPr="006008C9">
        <w:t xml:space="preserve">ebrile rash illness and </w:t>
      </w:r>
      <w:r w:rsidRPr="00F90955">
        <w:t>symptoms consistent with measles</w:t>
      </w:r>
      <w:r w:rsidRPr="006008C9">
        <w:t xml:space="preserve"> (e.g., cough, coryza, or conjunctivitis</w:t>
      </w:r>
      <w:proofErr w:type="gramStart"/>
      <w:r w:rsidRPr="006008C9">
        <w:t>)</w:t>
      </w:r>
      <w:r>
        <w:t>;</w:t>
      </w:r>
      <w:proofErr w:type="gramEnd"/>
    </w:p>
    <w:p w14:paraId="4A511AE5" w14:textId="61C921C5" w:rsidR="005F57B4" w:rsidRDefault="005F57B4" w:rsidP="00E87CC3">
      <w:pPr>
        <w:pStyle w:val="ListParagraph"/>
        <w:numPr>
          <w:ilvl w:val="0"/>
          <w:numId w:val="1"/>
        </w:numPr>
        <w:spacing w:line="240" w:lineRule="auto"/>
      </w:pPr>
      <w:r>
        <w:t xml:space="preserve">Not been vaccinated for measles, have not completed their MMR vaccine series, or have an unknown immunity </w:t>
      </w:r>
      <w:proofErr w:type="gramStart"/>
      <w:r>
        <w:t>status;</w:t>
      </w:r>
      <w:proofErr w:type="gramEnd"/>
    </w:p>
    <w:p w14:paraId="7959B521" w14:textId="19D891BD" w:rsidR="009632A3" w:rsidRDefault="005F57B4" w:rsidP="00E87CC3">
      <w:pPr>
        <w:pStyle w:val="ListParagraph"/>
        <w:numPr>
          <w:ilvl w:val="0"/>
          <w:numId w:val="1"/>
        </w:numPr>
        <w:spacing w:line="240" w:lineRule="auto"/>
      </w:pPr>
      <w:r>
        <w:t>R</w:t>
      </w:r>
      <w:r w:rsidR="00E906BA">
        <w:t xml:space="preserve">ecently </w:t>
      </w:r>
      <w:r w:rsidR="009632A3">
        <w:t xml:space="preserve">traveled to </w:t>
      </w:r>
      <w:r w:rsidR="00583C53">
        <w:t xml:space="preserve">areas of North and South Carolina with measles </w:t>
      </w:r>
      <w:proofErr w:type="gramStart"/>
      <w:r w:rsidR="00583C53">
        <w:t>cases;</w:t>
      </w:r>
      <w:proofErr w:type="gramEnd"/>
    </w:p>
    <w:p w14:paraId="2BA2BFC8" w14:textId="51F57673" w:rsidR="00FA4F16" w:rsidRDefault="00182BAA" w:rsidP="00FA4F16">
      <w:pPr>
        <w:pStyle w:val="ListParagraph"/>
        <w:numPr>
          <w:ilvl w:val="0"/>
          <w:numId w:val="1"/>
        </w:numPr>
        <w:spacing w:line="240" w:lineRule="auto"/>
      </w:pPr>
      <w:r>
        <w:t>R</w:t>
      </w:r>
      <w:r w:rsidR="00FA4F16">
        <w:t>ecently</w:t>
      </w:r>
      <w:r w:rsidR="00FA4F16" w:rsidRPr="006008C9">
        <w:t xml:space="preserve"> traveled abroad, especially to countries with ongoing measles </w:t>
      </w:r>
      <w:r w:rsidR="00FA4F16" w:rsidRPr="00F90955">
        <w:t>outbreaks.</w:t>
      </w:r>
    </w:p>
    <w:p w14:paraId="2E19723D" w14:textId="55729A96" w:rsidR="00182BAA" w:rsidRDefault="00032E20" w:rsidP="00032E20">
      <w:pPr>
        <w:spacing w:line="240" w:lineRule="auto"/>
        <w:rPr>
          <w:bCs/>
        </w:rPr>
      </w:pPr>
      <w:r w:rsidRPr="003D0A35">
        <w:rPr>
          <w:bCs/>
        </w:rPr>
        <w:t xml:space="preserve">Prompt recognition, reporting, and investigation of measles </w:t>
      </w:r>
      <w:r w:rsidR="00B85C64">
        <w:rPr>
          <w:bCs/>
        </w:rPr>
        <w:t xml:space="preserve">cases </w:t>
      </w:r>
      <w:r w:rsidRPr="003D0A35">
        <w:rPr>
          <w:bCs/>
        </w:rPr>
        <w:t xml:space="preserve">are </w:t>
      </w:r>
      <w:r w:rsidR="00B85C64">
        <w:rPr>
          <w:bCs/>
        </w:rPr>
        <w:t xml:space="preserve">all </w:t>
      </w:r>
      <w:r w:rsidRPr="003D0A35">
        <w:rPr>
          <w:bCs/>
        </w:rPr>
        <w:t xml:space="preserve">important because disease </w:t>
      </w:r>
      <w:r w:rsidR="00B85C64">
        <w:rPr>
          <w:bCs/>
        </w:rPr>
        <w:t xml:space="preserve">transmission </w:t>
      </w:r>
      <w:r w:rsidRPr="003D0A35">
        <w:rPr>
          <w:bCs/>
        </w:rPr>
        <w:t>can be limited with early case identification and vaccination of susceptible contacts.</w:t>
      </w:r>
      <w:r w:rsidR="009B0C71">
        <w:rPr>
          <w:bCs/>
        </w:rPr>
        <w:t xml:space="preserve"> </w:t>
      </w:r>
    </w:p>
    <w:p w14:paraId="39520BF2" w14:textId="027460E1" w:rsidR="00B85C64" w:rsidRDefault="00B85C64" w:rsidP="00AE58C2">
      <w:r>
        <w:rPr>
          <w:b/>
          <w:bCs/>
        </w:rPr>
        <w:t xml:space="preserve">Additional guidance for providers </w:t>
      </w:r>
      <w:r w:rsidRPr="00B85C64">
        <w:t xml:space="preserve">can be found on </w:t>
      </w:r>
      <w:r w:rsidR="00226685" w:rsidRPr="00B85C64">
        <w:t>NC</w:t>
      </w:r>
      <w:r w:rsidR="00226685">
        <w:t>DHHS</w:t>
      </w:r>
      <w:r>
        <w:t>’</w:t>
      </w:r>
      <w:r w:rsidR="00AE58C2">
        <w:t xml:space="preserve"> </w:t>
      </w:r>
      <w:hyperlink r:id="rId14" w:history="1">
        <w:r w:rsidR="000744AB" w:rsidRPr="0003446F">
          <w:rPr>
            <w:rStyle w:val="Hyperlink"/>
          </w:rPr>
          <w:t>Measles (Rubeola) Resources for Health Care Providers</w:t>
        </w:r>
      </w:hyperlink>
      <w:r w:rsidR="00EC0953">
        <w:t xml:space="preserve"> </w:t>
      </w:r>
      <w:r>
        <w:t xml:space="preserve">page at </w:t>
      </w:r>
      <w:hyperlink r:id="rId15" w:history="1">
        <w:r w:rsidR="00AC348A" w:rsidRPr="005A56D7">
          <w:rPr>
            <w:rStyle w:val="Hyperlink"/>
          </w:rPr>
          <w:t>https://bit.ly/4sNzXhl</w:t>
        </w:r>
      </w:hyperlink>
      <w:r>
        <w:t>.</w:t>
      </w:r>
      <w:r w:rsidR="00226685">
        <w:t xml:space="preserve"> </w:t>
      </w:r>
      <w:r w:rsidR="000F039D">
        <w:t xml:space="preserve">This includes information on testing, treatment and protecting your staff and others in your facility. </w:t>
      </w:r>
    </w:p>
    <w:p w14:paraId="4D4CED25" w14:textId="04E037B0" w:rsidR="00032E20" w:rsidRPr="00583C53" w:rsidRDefault="00B85C64" w:rsidP="00AE58C2">
      <w:pPr>
        <w:rPr>
          <w:b/>
          <w:bCs/>
        </w:rPr>
      </w:pPr>
      <w:r w:rsidRPr="00583C53">
        <w:rPr>
          <w:b/>
          <w:bCs/>
        </w:rPr>
        <w:t>For questions, c</w:t>
      </w:r>
      <w:r w:rsidR="009B0C71" w:rsidRPr="00583C53">
        <w:rPr>
          <w:b/>
          <w:bCs/>
        </w:rPr>
        <w:t>ontact Catawba County Public Health’s Communicable Disease team at (828) 695-</w:t>
      </w:r>
      <w:r w:rsidR="00A1677C" w:rsidRPr="00583C53">
        <w:rPr>
          <w:b/>
          <w:bCs/>
        </w:rPr>
        <w:t>5823</w:t>
      </w:r>
      <w:r w:rsidR="009B0C71" w:rsidRPr="00583C53">
        <w:rPr>
          <w:b/>
          <w:bCs/>
        </w:rPr>
        <w:t xml:space="preserve"> or the state Communicable Disease Branch (919) 733-3419 (available 24/7).</w:t>
      </w:r>
    </w:p>
    <w:p w14:paraId="4B01A5D4" w14:textId="4FB34DA8" w:rsidR="00ED6B9F" w:rsidRPr="000F039D" w:rsidRDefault="00032E20" w:rsidP="00A33AD6">
      <w:pPr>
        <w:spacing w:line="240" w:lineRule="auto"/>
        <w:rPr>
          <w:bCs/>
        </w:rPr>
      </w:pPr>
      <w:r w:rsidRPr="000F039D">
        <w:rPr>
          <w:bCs/>
        </w:rPr>
        <w:t xml:space="preserve">For questions about vaccinations or for patients who are uninsured or </w:t>
      </w:r>
      <w:r w:rsidR="00677286" w:rsidRPr="000F039D">
        <w:rPr>
          <w:bCs/>
        </w:rPr>
        <w:t xml:space="preserve">whose </w:t>
      </w:r>
      <w:r w:rsidRPr="000F039D">
        <w:rPr>
          <w:bCs/>
        </w:rPr>
        <w:t>medical plans do not cover vaccinations, please contact the Public Health Immunizations Clinic at (828) 695-5881.</w:t>
      </w:r>
    </w:p>
    <w:sectPr w:rsidR="00ED6B9F" w:rsidRPr="000F039D" w:rsidSect="00ED708D">
      <w:headerReference w:type="first" r:id="rId16"/>
      <w:footerReference w:type="first" r:id="rId17"/>
      <w:pgSz w:w="12240" w:h="15840" w:code="1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2F1F" w14:textId="77777777" w:rsidR="00CA666F" w:rsidRDefault="00CA666F" w:rsidP="00ED708D">
      <w:pPr>
        <w:spacing w:after="0" w:line="240" w:lineRule="auto"/>
      </w:pPr>
      <w:r>
        <w:separator/>
      </w:r>
    </w:p>
  </w:endnote>
  <w:endnote w:type="continuationSeparator" w:id="0">
    <w:p w14:paraId="2105F505" w14:textId="77777777" w:rsidR="00CA666F" w:rsidRDefault="00CA666F" w:rsidP="00ED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B121" w14:textId="77777777" w:rsidR="00755BBA" w:rsidRDefault="00755BBA" w:rsidP="00755BBA">
    <w:pPr>
      <w:pStyle w:val="Footer"/>
      <w:spacing w:before="10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6834" w14:textId="77777777" w:rsidR="00CA666F" w:rsidRDefault="00CA666F" w:rsidP="00ED708D">
      <w:pPr>
        <w:spacing w:after="0" w:line="240" w:lineRule="auto"/>
      </w:pPr>
      <w:r>
        <w:separator/>
      </w:r>
    </w:p>
  </w:footnote>
  <w:footnote w:type="continuationSeparator" w:id="0">
    <w:p w14:paraId="7123E7EC" w14:textId="77777777" w:rsidR="00CA666F" w:rsidRDefault="00CA666F" w:rsidP="00ED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2932" w14:textId="77777777" w:rsidR="00ED708D" w:rsidRDefault="001C550D" w:rsidP="00755BBA">
    <w:pPr>
      <w:pStyle w:val="Header"/>
      <w:spacing w:after="22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767CC" wp14:editId="3085A0A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blic Health_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047E"/>
    <w:multiLevelType w:val="hybridMultilevel"/>
    <w:tmpl w:val="1400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3D91"/>
    <w:multiLevelType w:val="hybridMultilevel"/>
    <w:tmpl w:val="2C0E6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D3B00"/>
    <w:multiLevelType w:val="multilevel"/>
    <w:tmpl w:val="6360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188744">
    <w:abstractNumId w:val="1"/>
  </w:num>
  <w:num w:numId="2" w16cid:durableId="1210146362">
    <w:abstractNumId w:val="0"/>
  </w:num>
  <w:num w:numId="3" w16cid:durableId="181541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20"/>
    <w:rsid w:val="00032E20"/>
    <w:rsid w:val="0003446F"/>
    <w:rsid w:val="00047080"/>
    <w:rsid w:val="00047B8A"/>
    <w:rsid w:val="000551CD"/>
    <w:rsid w:val="000744AB"/>
    <w:rsid w:val="000942ED"/>
    <w:rsid w:val="00097CE8"/>
    <w:rsid w:val="000A4AEA"/>
    <w:rsid w:val="000B4B85"/>
    <w:rsid w:val="000D439C"/>
    <w:rsid w:val="000D4D6D"/>
    <w:rsid w:val="000F039D"/>
    <w:rsid w:val="000F1A34"/>
    <w:rsid w:val="00104C3B"/>
    <w:rsid w:val="00111C52"/>
    <w:rsid w:val="0012356D"/>
    <w:rsid w:val="00131BA2"/>
    <w:rsid w:val="0017374A"/>
    <w:rsid w:val="001768D4"/>
    <w:rsid w:val="00182BAA"/>
    <w:rsid w:val="00182FE0"/>
    <w:rsid w:val="001956BD"/>
    <w:rsid w:val="001A688C"/>
    <w:rsid w:val="001C550D"/>
    <w:rsid w:val="00226685"/>
    <w:rsid w:val="00234E68"/>
    <w:rsid w:val="002606F8"/>
    <w:rsid w:val="00277D56"/>
    <w:rsid w:val="00297583"/>
    <w:rsid w:val="002A0267"/>
    <w:rsid w:val="00306F94"/>
    <w:rsid w:val="003278C7"/>
    <w:rsid w:val="003841AB"/>
    <w:rsid w:val="00394BF9"/>
    <w:rsid w:val="003C3A08"/>
    <w:rsid w:val="003D0A35"/>
    <w:rsid w:val="003E0FAE"/>
    <w:rsid w:val="003E757A"/>
    <w:rsid w:val="003F6B07"/>
    <w:rsid w:val="00406553"/>
    <w:rsid w:val="00411749"/>
    <w:rsid w:val="00440D57"/>
    <w:rsid w:val="004F0003"/>
    <w:rsid w:val="00504D4A"/>
    <w:rsid w:val="0052054D"/>
    <w:rsid w:val="00543691"/>
    <w:rsid w:val="00555D81"/>
    <w:rsid w:val="00581E2F"/>
    <w:rsid w:val="00583C53"/>
    <w:rsid w:val="005F0D50"/>
    <w:rsid w:val="005F57B4"/>
    <w:rsid w:val="006102F0"/>
    <w:rsid w:val="00645729"/>
    <w:rsid w:val="00661854"/>
    <w:rsid w:val="00667F72"/>
    <w:rsid w:val="006724F1"/>
    <w:rsid w:val="00676F8C"/>
    <w:rsid w:val="00677286"/>
    <w:rsid w:val="006818C2"/>
    <w:rsid w:val="00690E4C"/>
    <w:rsid w:val="00692618"/>
    <w:rsid w:val="006C69C7"/>
    <w:rsid w:val="00707F50"/>
    <w:rsid w:val="007102AB"/>
    <w:rsid w:val="00722379"/>
    <w:rsid w:val="00723552"/>
    <w:rsid w:val="00724139"/>
    <w:rsid w:val="00733CD0"/>
    <w:rsid w:val="00755BBA"/>
    <w:rsid w:val="00797A26"/>
    <w:rsid w:val="007D52BF"/>
    <w:rsid w:val="007E7A13"/>
    <w:rsid w:val="0080620F"/>
    <w:rsid w:val="0083724D"/>
    <w:rsid w:val="00867F3B"/>
    <w:rsid w:val="008A04F3"/>
    <w:rsid w:val="008A4D71"/>
    <w:rsid w:val="008B71F7"/>
    <w:rsid w:val="008C1B81"/>
    <w:rsid w:val="008E4B02"/>
    <w:rsid w:val="00905168"/>
    <w:rsid w:val="00916D3A"/>
    <w:rsid w:val="009317CA"/>
    <w:rsid w:val="00962FB6"/>
    <w:rsid w:val="009632A3"/>
    <w:rsid w:val="009B0C71"/>
    <w:rsid w:val="009E1F4C"/>
    <w:rsid w:val="00A029FA"/>
    <w:rsid w:val="00A0544C"/>
    <w:rsid w:val="00A1677C"/>
    <w:rsid w:val="00A33AD6"/>
    <w:rsid w:val="00A34FF7"/>
    <w:rsid w:val="00A41977"/>
    <w:rsid w:val="00A517B5"/>
    <w:rsid w:val="00A51DB7"/>
    <w:rsid w:val="00A64310"/>
    <w:rsid w:val="00A73E96"/>
    <w:rsid w:val="00A94E88"/>
    <w:rsid w:val="00AA0346"/>
    <w:rsid w:val="00AC348A"/>
    <w:rsid w:val="00AE58C2"/>
    <w:rsid w:val="00AF1288"/>
    <w:rsid w:val="00B7100F"/>
    <w:rsid w:val="00B840DE"/>
    <w:rsid w:val="00B85C64"/>
    <w:rsid w:val="00B91BA4"/>
    <w:rsid w:val="00B92FCF"/>
    <w:rsid w:val="00B9329B"/>
    <w:rsid w:val="00BD452A"/>
    <w:rsid w:val="00BE18A8"/>
    <w:rsid w:val="00BF32DE"/>
    <w:rsid w:val="00C166DE"/>
    <w:rsid w:val="00C16AA8"/>
    <w:rsid w:val="00C84BBD"/>
    <w:rsid w:val="00CA666F"/>
    <w:rsid w:val="00CB42C3"/>
    <w:rsid w:val="00D1691C"/>
    <w:rsid w:val="00D541AD"/>
    <w:rsid w:val="00D56A00"/>
    <w:rsid w:val="00DA1E12"/>
    <w:rsid w:val="00E05513"/>
    <w:rsid w:val="00E44E23"/>
    <w:rsid w:val="00E53731"/>
    <w:rsid w:val="00E6404D"/>
    <w:rsid w:val="00E806EB"/>
    <w:rsid w:val="00E87CC3"/>
    <w:rsid w:val="00E906BA"/>
    <w:rsid w:val="00EC0953"/>
    <w:rsid w:val="00EC189F"/>
    <w:rsid w:val="00ED58B4"/>
    <w:rsid w:val="00ED6B9F"/>
    <w:rsid w:val="00ED708D"/>
    <w:rsid w:val="00F023BA"/>
    <w:rsid w:val="00F170D7"/>
    <w:rsid w:val="00F624F2"/>
    <w:rsid w:val="00F7377D"/>
    <w:rsid w:val="00F90955"/>
    <w:rsid w:val="00F972FC"/>
    <w:rsid w:val="00FA4F16"/>
    <w:rsid w:val="00FB466E"/>
    <w:rsid w:val="00FC246C"/>
    <w:rsid w:val="00FD7DEC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ED5F0"/>
  <w15:chartTrackingRefBased/>
  <w15:docId w15:val="{BD676F41-E510-4311-BBE4-E1438E6A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20"/>
  </w:style>
  <w:style w:type="paragraph" w:styleId="Heading1">
    <w:name w:val="heading 1"/>
    <w:basedOn w:val="Normal"/>
    <w:next w:val="Normal"/>
    <w:link w:val="Heading1Char"/>
    <w:uiPriority w:val="9"/>
    <w:qFormat/>
    <w:rsid w:val="000744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E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08D"/>
  </w:style>
  <w:style w:type="paragraph" w:styleId="Footer">
    <w:name w:val="footer"/>
    <w:basedOn w:val="Normal"/>
    <w:link w:val="FooterChar"/>
    <w:uiPriority w:val="99"/>
    <w:unhideWhenUsed/>
    <w:rsid w:val="00ED7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08D"/>
  </w:style>
  <w:style w:type="paragraph" w:styleId="NormalWeb">
    <w:name w:val="Normal (Web)"/>
    <w:basedOn w:val="Normal"/>
    <w:uiPriority w:val="99"/>
    <w:semiHidden/>
    <w:unhideWhenUsed/>
    <w:rsid w:val="0075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2E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32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2E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4F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3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55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E58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44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ph.ncdhhs.gov/programs/epidemiology/communicable-disease/infectious-respiratory-diseases/measles-rubeola/measles-cases-and-outbreaks-north-carolin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ph.ncdhhs.gov/programs/epidemiology/communicable-disease/infectious-respiratory-diseases/measles-rubeola/measles-cases-and-outbreaks-north-carolin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ph.ncdhhs.gov/epidemiology/communicable-disease/confidential-communicable-disease-report-fillable/open" TargetMode="External"/><Relationship Id="rId5" Type="http://schemas.openxmlformats.org/officeDocument/2006/relationships/styles" Target="styles.xml"/><Relationship Id="rId15" Type="http://schemas.openxmlformats.org/officeDocument/2006/relationships/hyperlink" Target="https://bit.ly/4sNzXhl" TargetMode="External"/><Relationship Id="rId10" Type="http://schemas.openxmlformats.org/officeDocument/2006/relationships/hyperlink" Target="https://www.dph.ncdhhs.gov/programs/epidemiology/communicable-disease/infectious-respiratory-diseases/measles-rubeola/measles-exposure-location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ph.ncdhhs.gov/programs/epidemiology/communicable-disease/measles/provi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734861A6DBF42BC46A7FFB1A8862E" ma:contentTypeVersion="1" ma:contentTypeDescription="Create a new document." ma:contentTypeScope="" ma:versionID="a6852f2daa26e93986b48196c9ddec18">
  <xsd:schema xmlns:xsd="http://www.w3.org/2001/XMLSchema" xmlns:xs="http://www.w3.org/2001/XMLSchema" xmlns:p="http://schemas.microsoft.com/office/2006/metadata/properties" xmlns:ns2="e889eaf6-d73c-4c71-b926-de0af18c77f0" targetNamespace="http://schemas.microsoft.com/office/2006/metadata/properties" ma:root="true" ma:fieldsID="5bf235491bd61ff47d74a61591a62c72" ns2:_="">
    <xsd:import namespace="e889eaf6-d73c-4c71-b926-de0af18c77f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9eaf6-d73c-4c71-b926-de0af18c77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A3FC5-27CC-4727-AF32-D014406C5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9eaf6-d73c-4c71-b926-de0af18c7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51A28-C261-4180-813E-B55108BB49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79A5F2-82AB-4138-A6D7-743A975E4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4107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Catawba County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Dacy Shute</dc:creator>
  <cp:keywords/>
  <dc:description/>
  <cp:lastModifiedBy>Emily Killian</cp:lastModifiedBy>
  <cp:revision>2</cp:revision>
  <dcterms:created xsi:type="dcterms:W3CDTF">2026-02-23T21:31:00Z</dcterms:created>
  <dcterms:modified xsi:type="dcterms:W3CDTF">2026-02-23T21:31:00Z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0x010100007734861A6DBF42BC46A7FFB1A8862E</vt:lpwstr>
  </property>
</Properties>
</file>